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spacing w:beforeAutospacing="0" w:afterAutospacing="0" w:line="360" w:lineRule="auto"/>
        <w:rPr>
          <w:rFonts w:hint="default" w:ascii="Times New Roman" w:hAnsi="Times New Roman" w:cs="Times New Roman" w:eastAsiaTheme="minorEastAsia"/>
          <w:b/>
          <w:bCs/>
          <w:snapToGrid/>
          <w:color w:val="auto"/>
          <w:spacing w:val="0"/>
          <w:w w:val="100"/>
          <w:kern w:val="2"/>
          <w:position w:val="0"/>
          <w:sz w:val="44"/>
          <w:szCs w:val="44"/>
        </w:rPr>
      </w:pPr>
      <w:bookmarkStart w:id="0" w:name="_Toc9114"/>
    </w:p>
    <w:p>
      <w:pPr>
        <w:pStyle w:val="5"/>
        <w:rPr>
          <w:rFonts w:hint="default" w:ascii="Times New Roman" w:hAnsi="Times New Roman" w:cs="Times New Roman" w:eastAsiaTheme="minorEastAsia"/>
          <w:b/>
          <w:bCs/>
          <w:snapToGrid/>
          <w:color w:val="auto"/>
          <w:spacing w:val="0"/>
          <w:w w:val="100"/>
          <w:kern w:val="2"/>
          <w:position w:val="0"/>
          <w:sz w:val="44"/>
          <w:szCs w:val="44"/>
        </w:rPr>
      </w:pPr>
    </w:p>
    <w:p>
      <w:pPr>
        <w:pStyle w:val="5"/>
        <w:rPr>
          <w:rFonts w:hint="default" w:ascii="Times New Roman" w:hAnsi="Times New Roman" w:cs="Times New Roman" w:eastAsiaTheme="minorEastAsia"/>
          <w:b/>
          <w:bCs/>
          <w:snapToGrid/>
          <w:color w:val="auto"/>
          <w:spacing w:val="0"/>
          <w:w w:val="100"/>
          <w:kern w:val="2"/>
          <w:position w:val="0"/>
          <w:sz w:val="44"/>
          <w:szCs w:val="44"/>
        </w:rPr>
      </w:pPr>
    </w:p>
    <w:p>
      <w:pPr>
        <w:pStyle w:val="5"/>
        <w:rPr>
          <w:rFonts w:hint="default" w:ascii="Times New Roman" w:hAnsi="Times New Roman" w:cs="Times New Roman" w:eastAsiaTheme="minorEastAsia"/>
          <w:b/>
          <w:bCs/>
          <w:snapToGrid/>
          <w:color w:val="auto"/>
          <w:spacing w:val="0"/>
          <w:w w:val="100"/>
          <w:kern w:val="2"/>
          <w:position w:val="0"/>
          <w:sz w:val="44"/>
          <w:szCs w:val="44"/>
        </w:rPr>
      </w:pPr>
    </w:p>
    <w:p>
      <w:pPr>
        <w:pStyle w:val="5"/>
        <w:rPr>
          <w:rFonts w:hint="default" w:ascii="Times New Roman" w:hAnsi="Times New Roman" w:cs="Times New Roman" w:eastAsiaTheme="minorEastAsia"/>
          <w:b/>
          <w:bCs/>
          <w:snapToGrid/>
          <w:color w:val="auto"/>
          <w:spacing w:val="0"/>
          <w:w w:val="100"/>
          <w:kern w:val="2"/>
          <w:position w:val="0"/>
          <w:sz w:val="44"/>
          <w:szCs w:val="44"/>
        </w:rPr>
      </w:pPr>
    </w:p>
    <w:p>
      <w:pPr>
        <w:pStyle w:val="5"/>
        <w:rPr>
          <w:rFonts w:hint="default" w:ascii="Times New Roman" w:hAnsi="Times New Roman" w:cs="Times New Roman" w:eastAsiaTheme="minorEastAsia"/>
          <w:b/>
          <w:bCs/>
          <w:snapToGrid/>
          <w:color w:val="auto"/>
          <w:spacing w:val="0"/>
          <w:w w:val="100"/>
          <w:kern w:val="2"/>
          <w:position w:val="0"/>
          <w:sz w:val="44"/>
          <w:szCs w:val="44"/>
        </w:rPr>
      </w:pPr>
    </w:p>
    <w:p>
      <w:pPr>
        <w:pStyle w:val="5"/>
        <w:rPr>
          <w:rFonts w:hint="default" w:ascii="Times New Roman" w:hAnsi="Times New Roman" w:cs="Times New Roman" w:eastAsiaTheme="minorEastAsia"/>
          <w:b/>
          <w:bCs/>
          <w:snapToGrid/>
          <w:color w:val="auto"/>
          <w:spacing w:val="0"/>
          <w:w w:val="100"/>
          <w:kern w:val="2"/>
          <w:position w:val="0"/>
          <w:sz w:val="44"/>
          <w:szCs w:val="44"/>
        </w:rPr>
      </w:pPr>
    </w:p>
    <w:p>
      <w:pPr>
        <w:pStyle w:val="5"/>
        <w:rPr>
          <w:rFonts w:hint="default" w:ascii="Times New Roman" w:hAnsi="Times New Roman" w:cs="Times New Roman" w:eastAsiaTheme="minorEastAsia"/>
          <w:b/>
          <w:bCs/>
          <w:snapToGrid/>
          <w:color w:val="auto"/>
          <w:spacing w:val="0"/>
          <w:w w:val="100"/>
          <w:kern w:val="2"/>
          <w:position w:val="0"/>
          <w:sz w:val="44"/>
          <w:szCs w:val="44"/>
        </w:rPr>
      </w:pPr>
    </w:p>
    <w:p>
      <w:pPr>
        <w:pStyle w:val="5"/>
        <w:rPr>
          <w:rFonts w:hint="eastAsia" w:ascii="黑体" w:hAnsi="黑体" w:eastAsia="黑体" w:cs="黑体"/>
          <w:b/>
          <w:bCs/>
          <w:snapToGrid/>
          <w:color w:val="auto"/>
          <w:spacing w:val="0"/>
          <w:w w:val="100"/>
          <w:kern w:val="2"/>
          <w:position w:val="0"/>
          <w:sz w:val="52"/>
          <w:szCs w:val="52"/>
        </w:rPr>
      </w:pPr>
      <w:r>
        <w:rPr>
          <w:rFonts w:hint="default" w:ascii="Times New Roman" w:hAnsi="Times New Roman" w:cs="Times New Roman"/>
          <w:snapToGrid/>
          <w:color w:val="auto"/>
          <w:spacing w:val="0"/>
          <w:w w:val="100"/>
          <w:kern w:val="2"/>
          <w:position w:val="0"/>
        </w:rPr>
        <mc:AlternateContent>
          <mc:Choice Requires="wps">
            <w:drawing>
              <wp:anchor distT="45720" distB="45720" distL="114300" distR="114300" simplePos="0" relativeHeight="251662336" behindDoc="0" locked="0" layoutInCell="1" allowOverlap="1">
                <wp:simplePos x="0" y="0"/>
                <wp:positionH relativeFrom="margin">
                  <wp:posOffset>-155575</wp:posOffset>
                </wp:positionH>
                <wp:positionV relativeFrom="margin">
                  <wp:posOffset>499745</wp:posOffset>
                </wp:positionV>
                <wp:extent cx="5822950" cy="1404620"/>
                <wp:effectExtent l="0" t="0" r="6350" b="5080"/>
                <wp:wrapSquare wrapText="bothSides"/>
                <wp:docPr id="1243" name="文本框 1243"/>
                <wp:cNvGraphicFramePr/>
                <a:graphic xmlns:a="http://schemas.openxmlformats.org/drawingml/2006/main">
                  <a:graphicData uri="http://schemas.microsoft.com/office/word/2010/wordprocessingShape">
                    <wps:wsp>
                      <wps:cNvSpPr txBox="1">
                        <a:spLocks noChangeArrowheads="1"/>
                      </wps:cNvSpPr>
                      <wps:spPr bwMode="auto">
                        <a:xfrm>
                          <a:off x="0" y="0"/>
                          <a:ext cx="5822950" cy="1404620"/>
                        </a:xfrm>
                        <a:prstGeom prst="rect">
                          <a:avLst/>
                        </a:prstGeom>
                        <a:solidFill>
                          <a:srgbClr val="FFFFFF"/>
                        </a:solidFill>
                        <a:ln w="9525">
                          <a:noFill/>
                          <a:miter lim="800000"/>
                        </a:ln>
                        <a:effectLst/>
                      </wps:spPr>
                      <wps:txbx>
                        <w:txbxContent>
                          <w:p>
                            <w:pPr>
                              <w:spacing w:before="312" w:beforeLines="100"/>
                              <w:ind w:firstLine="0" w:firstLineChars="0"/>
                              <w:jc w:val="center"/>
                              <w:rPr>
                                <w:rFonts w:ascii="黑体" w:hAnsi="黑体" w:eastAsia="黑体"/>
                                <w:sz w:val="48"/>
                                <w:szCs w:val="48"/>
                              </w:rPr>
                            </w:pPr>
                          </w:p>
                          <w:p>
                            <w:pPr>
                              <w:keepNext w:val="0"/>
                              <w:keepLines w:val="0"/>
                              <w:pageBreakBefore w:val="0"/>
                              <w:kinsoku/>
                              <w:wordWrap/>
                              <w:bidi w:val="0"/>
                              <w:spacing w:line="360" w:lineRule="auto"/>
                              <w:jc w:val="center"/>
                              <w:textAlignment w:val="auto"/>
                              <w:rPr>
                                <w:rFonts w:hint="eastAsia" w:ascii="黑体" w:hAnsi="黑体" w:eastAsia="黑体" w:cs="黑体"/>
                                <w:b w:val="0"/>
                                <w:bCs w:val="0"/>
                                <w:sz w:val="52"/>
                                <w:szCs w:val="52"/>
                                <w:lang w:val="en-US" w:eastAsia="zh-CN"/>
                              </w:rPr>
                            </w:pPr>
                            <w:r>
                              <w:rPr>
                                <w:rFonts w:hint="eastAsia" w:ascii="黑体" w:hAnsi="黑体" w:eastAsia="黑体" w:cs="黑体"/>
                                <w:b w:val="0"/>
                                <w:bCs w:val="0"/>
                                <w:sz w:val="52"/>
                                <w:szCs w:val="52"/>
                                <w:lang w:val="en-US" w:eastAsia="zh-CN"/>
                              </w:rPr>
                              <w:t>世纪诚园（一期）地块</w:t>
                            </w:r>
                          </w:p>
                          <w:p>
                            <w:pPr>
                              <w:keepNext w:val="0"/>
                              <w:keepLines w:val="0"/>
                              <w:pageBreakBefore w:val="0"/>
                              <w:kinsoku/>
                              <w:wordWrap/>
                              <w:bidi w:val="0"/>
                              <w:spacing w:line="360" w:lineRule="auto"/>
                              <w:jc w:val="center"/>
                              <w:textAlignment w:val="auto"/>
                              <w:rPr>
                                <w:rFonts w:hint="eastAsia" w:ascii="黑体" w:hAnsi="黑体" w:eastAsia="黑体" w:cs="黑体"/>
                                <w:b/>
                                <w:bCs/>
                                <w:sz w:val="52"/>
                                <w:szCs w:val="52"/>
                                <w:lang w:val="en-US"/>
                              </w:rPr>
                            </w:pPr>
                            <w:r>
                              <w:rPr>
                                <w:rFonts w:hint="eastAsia" w:ascii="黑体" w:hAnsi="黑体" w:eastAsia="黑体" w:cs="黑体"/>
                                <w:b w:val="0"/>
                                <w:bCs w:val="0"/>
                                <w:sz w:val="52"/>
                                <w:szCs w:val="52"/>
                                <w:lang w:val="en-US"/>
                              </w:rPr>
                              <w:t>土壤污染状况调查报告</w:t>
                            </w:r>
                          </w:p>
                          <w:p>
                            <w:pPr>
                              <w:spacing w:before="312" w:beforeLines="100"/>
                              <w:ind w:firstLine="0" w:firstLineChars="0"/>
                              <w:jc w:val="center"/>
                              <w:rPr>
                                <w:rFonts w:hint="eastAsia" w:ascii="黑体" w:hAnsi="黑体" w:eastAsia="黑体"/>
                                <w:sz w:val="48"/>
                                <w:szCs w:val="48"/>
                                <w:lang w:eastAsia="zh-CN"/>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2.25pt;margin-top:39.35pt;height:110.6pt;width:458.5pt;mso-position-horizontal-relative:margin;mso-position-vertical-relative:margin;mso-wrap-distance-bottom:3.6pt;mso-wrap-distance-left:9pt;mso-wrap-distance-right:9pt;mso-wrap-distance-top:3.6pt;z-index:251662336;mso-width-relative:page;mso-height-relative:margin;mso-height-percent:200;" fillcolor="#FFFFFF" filled="t" stroked="f" coordsize="21600,21600" o:gfxdata="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i4lgrZAAAACgEAAA8AAAAAAAAAAQAgAAAA&#10;IgAAAGRycy9kb3ducmV2LnhtbFBLAQIUABQAAAAIAIdO4kD48NmbQwIAAGcEAAAOAAAAAAAAAAEA&#10;IAAAACgBAABkcnMvZTJvRG9jLnhtbFBLBQYAAAAABgAGAFkBAADdBQAAAAA=&#10;">
                <v:fill on="t" focussize="0,0"/>
                <v:stroke on="f" miterlimit="8" joinstyle="miter"/>
                <v:imagedata o:title=""/>
                <o:lock v:ext="edit" aspectratio="f"/>
                <v:textbox style="mso-fit-shape-to-text:t;">
                  <w:txbxContent>
                    <w:p>
                      <w:pPr>
                        <w:spacing w:before="312" w:beforeLines="100"/>
                        <w:ind w:firstLine="0" w:firstLineChars="0"/>
                        <w:jc w:val="center"/>
                        <w:rPr>
                          <w:rFonts w:ascii="黑体" w:hAnsi="黑体" w:eastAsia="黑体"/>
                          <w:sz w:val="48"/>
                          <w:szCs w:val="48"/>
                        </w:rPr>
                      </w:pPr>
                    </w:p>
                    <w:p>
                      <w:pPr>
                        <w:keepNext w:val="0"/>
                        <w:keepLines w:val="0"/>
                        <w:pageBreakBefore w:val="0"/>
                        <w:kinsoku/>
                        <w:wordWrap/>
                        <w:bidi w:val="0"/>
                        <w:spacing w:line="360" w:lineRule="auto"/>
                        <w:jc w:val="center"/>
                        <w:textAlignment w:val="auto"/>
                        <w:rPr>
                          <w:rFonts w:hint="eastAsia" w:ascii="黑体" w:hAnsi="黑体" w:eastAsia="黑体" w:cs="黑体"/>
                          <w:b w:val="0"/>
                          <w:bCs w:val="0"/>
                          <w:sz w:val="52"/>
                          <w:szCs w:val="52"/>
                          <w:lang w:val="en-US" w:eastAsia="zh-CN"/>
                        </w:rPr>
                      </w:pPr>
                      <w:r>
                        <w:rPr>
                          <w:rFonts w:hint="eastAsia" w:ascii="黑体" w:hAnsi="黑体" w:eastAsia="黑体" w:cs="黑体"/>
                          <w:b w:val="0"/>
                          <w:bCs w:val="0"/>
                          <w:sz w:val="52"/>
                          <w:szCs w:val="52"/>
                          <w:lang w:val="en-US" w:eastAsia="zh-CN"/>
                        </w:rPr>
                        <w:t>世纪诚园（一期）地块</w:t>
                      </w:r>
                    </w:p>
                    <w:p>
                      <w:pPr>
                        <w:keepNext w:val="0"/>
                        <w:keepLines w:val="0"/>
                        <w:pageBreakBefore w:val="0"/>
                        <w:kinsoku/>
                        <w:wordWrap/>
                        <w:bidi w:val="0"/>
                        <w:spacing w:line="360" w:lineRule="auto"/>
                        <w:jc w:val="center"/>
                        <w:textAlignment w:val="auto"/>
                        <w:rPr>
                          <w:rFonts w:hint="eastAsia" w:ascii="黑体" w:hAnsi="黑体" w:eastAsia="黑体" w:cs="黑体"/>
                          <w:b/>
                          <w:bCs/>
                          <w:sz w:val="52"/>
                          <w:szCs w:val="52"/>
                          <w:lang w:val="en-US"/>
                        </w:rPr>
                      </w:pPr>
                      <w:r>
                        <w:rPr>
                          <w:rFonts w:hint="eastAsia" w:ascii="黑体" w:hAnsi="黑体" w:eastAsia="黑体" w:cs="黑体"/>
                          <w:b w:val="0"/>
                          <w:bCs w:val="0"/>
                          <w:sz w:val="52"/>
                          <w:szCs w:val="52"/>
                          <w:lang w:val="en-US"/>
                        </w:rPr>
                        <w:t>土壤污染状况调查报告</w:t>
                      </w:r>
                    </w:p>
                    <w:p>
                      <w:pPr>
                        <w:spacing w:before="312" w:beforeLines="100"/>
                        <w:ind w:firstLine="0" w:firstLineChars="0"/>
                        <w:jc w:val="center"/>
                        <w:rPr>
                          <w:rFonts w:hint="eastAsia" w:ascii="黑体" w:hAnsi="黑体" w:eastAsia="黑体"/>
                          <w:sz w:val="48"/>
                          <w:szCs w:val="48"/>
                          <w:lang w:eastAsia="zh-CN"/>
                        </w:rPr>
                      </w:pPr>
                    </w:p>
                  </w:txbxContent>
                </v:textbox>
                <w10:wrap type="square"/>
              </v:shape>
            </w:pict>
          </mc:Fallback>
        </mc:AlternateConten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00"/>
        <w:gridCol w:w="61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00" w:type="dxa"/>
            <w:tcBorders>
              <w:right w:val="nil"/>
            </w:tcBorders>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700" w:lineRule="exact"/>
              <w:jc w:val="right"/>
              <w:textAlignment w:val="auto"/>
              <w:rPr>
                <w:rFonts w:hint="default" w:ascii="Times New Roman" w:hAnsi="Times New Roman" w:eastAsia="黑体" w:cs="Times New Roman"/>
                <w:snapToGrid/>
                <w:color w:val="auto"/>
                <w:spacing w:val="0"/>
                <w:w w:val="100"/>
                <w:kern w:val="2"/>
                <w:position w:val="0"/>
                <w:sz w:val="32"/>
                <w:szCs w:val="32"/>
                <w:vertAlign w:val="baseline"/>
                <w:lang w:val="en-US"/>
              </w:rPr>
            </w:pPr>
            <w:r>
              <w:rPr>
                <w:rFonts w:hint="default" w:ascii="Times New Roman" w:hAnsi="Times New Roman" w:eastAsia="黑体" w:cs="Times New Roman"/>
                <w:snapToGrid/>
                <w:color w:val="auto"/>
                <w:spacing w:val="0"/>
                <w:w w:val="100"/>
                <w:kern w:val="2"/>
                <w:position w:val="0"/>
                <w:sz w:val="32"/>
                <w:szCs w:val="32"/>
                <w:lang w:val="en-US" w:eastAsia="zh-CN"/>
              </w:rPr>
              <w:t>委托</w:t>
            </w:r>
            <w:r>
              <w:rPr>
                <w:rFonts w:hint="default" w:ascii="Times New Roman" w:hAnsi="Times New Roman" w:eastAsia="黑体" w:cs="Times New Roman"/>
                <w:snapToGrid/>
                <w:color w:val="auto"/>
                <w:spacing w:val="0"/>
                <w:w w:val="100"/>
                <w:kern w:val="2"/>
                <w:position w:val="0"/>
                <w:sz w:val="32"/>
                <w:szCs w:val="32"/>
                <w:lang w:val="en-US"/>
              </w:rPr>
              <w:t xml:space="preserve">单位： </w:t>
            </w:r>
          </w:p>
        </w:tc>
        <w:tc>
          <w:tcPr>
            <w:tcW w:w="6115" w:type="dxa"/>
            <w:tcBorders>
              <w:left w:val="nil"/>
              <w:tl2br w:val="nil"/>
              <w:tr2bl w:val="nil"/>
            </w:tcBorders>
          </w:tcPr>
          <w:p>
            <w:pPr>
              <w:keepNext w:val="0"/>
              <w:keepLines w:val="0"/>
              <w:pageBreakBefore w:val="0"/>
              <w:widowControl w:val="0"/>
              <w:kinsoku/>
              <w:wordWrap/>
              <w:overflowPunct/>
              <w:topLinePunct w:val="0"/>
              <w:autoSpaceDE/>
              <w:autoSpaceDN/>
              <w:bidi w:val="0"/>
              <w:adjustRightInd/>
              <w:snapToGrid/>
              <w:spacing w:beforeAutospacing="0" w:afterAutospacing="0" w:line="700" w:lineRule="exact"/>
              <w:jc w:val="left"/>
              <w:textAlignment w:val="auto"/>
              <w:rPr>
                <w:rFonts w:hint="default" w:ascii="Times New Roman" w:hAnsi="Times New Roman" w:eastAsia="黑体" w:cs="Times New Roman"/>
                <w:snapToGrid/>
                <w:color w:val="auto"/>
                <w:spacing w:val="0"/>
                <w:w w:val="100"/>
                <w:kern w:val="2"/>
                <w:position w:val="0"/>
                <w:sz w:val="32"/>
                <w:szCs w:val="32"/>
                <w:lang w:val="en-US" w:eastAsia="zh-CN"/>
              </w:rPr>
            </w:pPr>
            <w:r>
              <w:rPr>
                <w:rFonts w:hint="eastAsia" w:ascii="Times New Roman" w:hAnsi="Times New Roman" w:eastAsia="黑体" w:cs="Times New Roman"/>
                <w:snapToGrid/>
                <w:color w:val="auto"/>
                <w:spacing w:val="0"/>
                <w:w w:val="100"/>
                <w:kern w:val="2"/>
                <w:position w:val="0"/>
                <w:sz w:val="32"/>
                <w:szCs w:val="32"/>
                <w:lang w:val="en-US" w:eastAsia="zh-CN"/>
              </w:rPr>
              <w:t>临沭县铭德房地产开发有限公司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400" w:type="dxa"/>
            <w:tcBorders>
              <w:right w:val="nil"/>
            </w:tcBorders>
            <w:vAlign w:val="top"/>
          </w:tcPr>
          <w:p>
            <w:pPr>
              <w:keepNext w:val="0"/>
              <w:keepLines w:val="0"/>
              <w:pageBreakBefore w:val="0"/>
              <w:widowControl w:val="0"/>
              <w:kinsoku/>
              <w:wordWrap/>
              <w:overflowPunct/>
              <w:topLinePunct w:val="0"/>
              <w:autoSpaceDE/>
              <w:autoSpaceDN/>
              <w:bidi w:val="0"/>
              <w:adjustRightInd/>
              <w:snapToGrid/>
              <w:spacing w:line="700" w:lineRule="exact"/>
              <w:jc w:val="right"/>
              <w:textAlignment w:val="auto"/>
              <w:rPr>
                <w:rFonts w:hint="default" w:ascii="Times New Roman" w:hAnsi="Times New Roman" w:eastAsia="黑体" w:cs="Times New Roman"/>
                <w:snapToGrid/>
                <w:color w:val="auto"/>
                <w:spacing w:val="0"/>
                <w:w w:val="100"/>
                <w:kern w:val="2"/>
                <w:position w:val="0"/>
                <w:sz w:val="32"/>
                <w:szCs w:val="32"/>
                <w:vertAlign w:val="baseline"/>
                <w:lang w:val="en-US" w:eastAsia="zh-CN"/>
              </w:rPr>
            </w:pPr>
            <w:r>
              <w:rPr>
                <w:rFonts w:hint="default" w:ascii="Times New Roman" w:hAnsi="Times New Roman" w:eastAsia="黑体" w:cs="Times New Roman"/>
                <w:snapToGrid/>
                <w:color w:val="auto"/>
                <w:spacing w:val="0"/>
                <w:w w:val="100"/>
                <w:kern w:val="2"/>
                <w:position w:val="0"/>
                <w:sz w:val="32"/>
                <w:szCs w:val="32"/>
                <w:lang w:val="en-US"/>
              </w:rPr>
              <w:t>编制单位</w:t>
            </w:r>
            <w:r>
              <w:rPr>
                <w:rFonts w:hint="default" w:ascii="Times New Roman" w:hAnsi="Times New Roman" w:eastAsia="黑体" w:cs="Times New Roman"/>
                <w:snapToGrid/>
                <w:color w:val="auto"/>
                <w:spacing w:val="0"/>
                <w:w w:val="100"/>
                <w:kern w:val="2"/>
                <w:position w:val="0"/>
                <w:sz w:val="32"/>
                <w:szCs w:val="32"/>
                <w:lang w:val="en-US" w:eastAsia="zh-CN"/>
              </w:rPr>
              <w:t>：</w:t>
            </w:r>
          </w:p>
        </w:tc>
        <w:tc>
          <w:tcPr>
            <w:tcW w:w="6115" w:type="dxa"/>
            <w:tcBorders>
              <w:left w:val="nil"/>
              <w:tl2br w:val="nil"/>
              <w:tr2bl w:val="nil"/>
            </w:tcBorders>
          </w:tcPr>
          <w:p>
            <w:pPr>
              <w:keepNext w:val="0"/>
              <w:keepLines w:val="0"/>
              <w:pageBreakBefore w:val="0"/>
              <w:widowControl w:val="0"/>
              <w:kinsoku/>
              <w:wordWrap/>
              <w:overflowPunct/>
              <w:topLinePunct w:val="0"/>
              <w:autoSpaceDE/>
              <w:autoSpaceDN/>
              <w:bidi w:val="0"/>
              <w:adjustRightInd/>
              <w:snapToGrid/>
              <w:spacing w:line="700" w:lineRule="exact"/>
              <w:jc w:val="both"/>
              <w:textAlignment w:val="auto"/>
              <w:rPr>
                <w:rFonts w:hint="default" w:ascii="Times New Roman" w:hAnsi="Times New Roman" w:eastAsia="黑体" w:cs="Times New Roman"/>
                <w:snapToGrid/>
                <w:color w:val="auto"/>
                <w:spacing w:val="0"/>
                <w:w w:val="100"/>
                <w:kern w:val="2"/>
                <w:position w:val="0"/>
                <w:sz w:val="32"/>
                <w:szCs w:val="32"/>
                <w:lang w:val="en-US"/>
              </w:rPr>
            </w:pPr>
            <w:r>
              <w:rPr>
                <w:rFonts w:hint="default" w:ascii="Times New Roman" w:hAnsi="Times New Roman" w:eastAsia="黑体" w:cs="Times New Roman"/>
                <w:snapToGrid/>
                <w:color w:val="auto"/>
                <w:spacing w:val="0"/>
                <w:w w:val="100"/>
                <w:kern w:val="2"/>
                <w:position w:val="0"/>
                <w:sz w:val="32"/>
                <w:szCs w:val="32"/>
                <w:lang w:val="en-US"/>
              </w:rPr>
              <w:t>山东蓝一检测技术有限公司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15" w:type="dxa"/>
            <w:gridSpan w:val="2"/>
            <w:tcBorders>
              <w:tl2br w:val="nil"/>
              <w:tr2bl w:val="nil"/>
            </w:tcBorders>
          </w:tcPr>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黑体" w:cs="Times New Roman"/>
                <w:snapToGrid/>
                <w:color w:val="auto"/>
                <w:spacing w:val="0"/>
                <w:w w:val="100"/>
                <w:kern w:val="2"/>
                <w:position w:val="0"/>
                <w:sz w:val="32"/>
                <w:szCs w:val="32"/>
                <w:vertAlign w:val="baseline"/>
                <w:lang w:val="en-US"/>
              </w:rPr>
            </w:pPr>
            <w:r>
              <w:rPr>
                <w:rFonts w:hint="default" w:ascii="Times New Roman" w:hAnsi="Times New Roman" w:eastAsia="黑体" w:cs="Times New Roman"/>
                <w:snapToGrid/>
                <w:color w:val="auto"/>
                <w:spacing w:val="0"/>
                <w:w w:val="100"/>
                <w:kern w:val="2"/>
                <w:position w:val="0"/>
                <w:sz w:val="32"/>
                <w:szCs w:val="32"/>
                <w:lang w:val="en-US"/>
              </w:rPr>
              <w:t>二〇二</w:t>
            </w:r>
            <w:r>
              <w:rPr>
                <w:rFonts w:hint="eastAsia" w:ascii="Times New Roman" w:hAnsi="Times New Roman" w:eastAsia="黑体" w:cs="Times New Roman"/>
                <w:snapToGrid/>
                <w:color w:val="auto"/>
                <w:spacing w:val="0"/>
                <w:w w:val="100"/>
                <w:kern w:val="2"/>
                <w:position w:val="0"/>
                <w:sz w:val="32"/>
                <w:szCs w:val="32"/>
                <w:lang w:val="en-US" w:eastAsia="zh-CN"/>
              </w:rPr>
              <w:t>二</w:t>
            </w:r>
            <w:r>
              <w:rPr>
                <w:rFonts w:hint="default" w:ascii="Times New Roman" w:hAnsi="Times New Roman" w:eastAsia="黑体" w:cs="Times New Roman"/>
                <w:snapToGrid/>
                <w:color w:val="auto"/>
                <w:spacing w:val="0"/>
                <w:w w:val="100"/>
                <w:kern w:val="2"/>
                <w:position w:val="0"/>
                <w:sz w:val="32"/>
                <w:szCs w:val="32"/>
                <w:lang w:val="en-US"/>
              </w:rPr>
              <w:t>年</w:t>
            </w:r>
            <w:r>
              <w:rPr>
                <w:rFonts w:hint="eastAsia" w:ascii="Times New Roman" w:hAnsi="Times New Roman" w:eastAsia="黑体" w:cs="Times New Roman"/>
                <w:snapToGrid/>
                <w:color w:val="auto"/>
                <w:spacing w:val="0"/>
                <w:w w:val="100"/>
                <w:kern w:val="2"/>
                <w:position w:val="0"/>
                <w:sz w:val="32"/>
                <w:szCs w:val="32"/>
                <w:lang w:val="en-US" w:eastAsia="zh-CN"/>
              </w:rPr>
              <w:t>三</w:t>
            </w:r>
            <w:r>
              <w:rPr>
                <w:rFonts w:hint="default" w:ascii="Times New Roman" w:hAnsi="Times New Roman" w:eastAsia="黑体" w:cs="Times New Roman"/>
                <w:snapToGrid/>
                <w:color w:val="auto"/>
                <w:spacing w:val="0"/>
                <w:w w:val="100"/>
                <w:kern w:val="2"/>
                <w:position w:val="0"/>
                <w:sz w:val="32"/>
                <w:szCs w:val="32"/>
                <w:lang w:val="en-US"/>
              </w:rPr>
              <w:t>月</w:t>
            </w:r>
          </w:p>
        </w:tc>
      </w:tr>
    </w:tbl>
    <w:p>
      <w:pPr>
        <w:pStyle w:val="2"/>
        <w:keepNext w:val="0"/>
        <w:keepLines w:val="0"/>
        <w:pageBreakBefore w:val="0"/>
        <w:widowControl w:val="0"/>
        <w:numPr>
          <w:ilvl w:val="0"/>
          <w:numId w:val="0"/>
        </w:numPr>
        <w:tabs>
          <w:tab w:val="left" w:pos="1696"/>
          <w:tab w:val="left" w:pos="2709"/>
          <w:tab w:val="left" w:pos="2710"/>
        </w:tabs>
        <w:kinsoku/>
        <w:wordWrap/>
        <w:overflowPunct/>
        <w:topLinePunct w:val="0"/>
        <w:autoSpaceDE w:val="0"/>
        <w:autoSpaceDN w:val="0"/>
        <w:bidi w:val="0"/>
        <w:adjustRightInd/>
        <w:snapToGrid/>
        <w:spacing w:before="0" w:beforeAutospacing="0" w:after="0" w:afterAutospacing="0" w:line="360" w:lineRule="auto"/>
        <w:ind w:right="0" w:rightChars="0"/>
        <w:jc w:val="center"/>
        <w:textAlignment w:val="auto"/>
        <w:outlineLvl w:val="0"/>
        <w:rPr>
          <w:rFonts w:hint="default" w:ascii="Times New Roman" w:hAnsi="Times New Roman" w:eastAsia="宋体" w:cs="Times New Roman"/>
          <w:spacing w:val="0"/>
          <w:w w:val="100"/>
          <w:sz w:val="32"/>
          <w:szCs w:val="32"/>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keepNext w:val="0"/>
        <w:keepLines w:val="0"/>
        <w:pageBreakBefore w:val="0"/>
        <w:widowControl w:val="0"/>
        <w:numPr>
          <w:ilvl w:val="0"/>
          <w:numId w:val="0"/>
        </w:numPr>
        <w:tabs>
          <w:tab w:val="left" w:pos="1696"/>
          <w:tab w:val="left" w:pos="2709"/>
          <w:tab w:val="left" w:pos="2710"/>
        </w:tabs>
        <w:kinsoku/>
        <w:wordWrap/>
        <w:overflowPunct/>
        <w:topLinePunct w:val="0"/>
        <w:autoSpaceDE w:val="0"/>
        <w:autoSpaceDN w:val="0"/>
        <w:bidi w:val="0"/>
        <w:adjustRightInd/>
        <w:snapToGrid/>
        <w:spacing w:before="0" w:beforeAutospacing="0" w:after="0" w:afterAutospacing="0" w:line="360" w:lineRule="auto"/>
        <w:ind w:right="0" w:rightChars="0"/>
        <w:jc w:val="center"/>
        <w:textAlignment w:val="auto"/>
        <w:outlineLvl w:val="0"/>
        <w:rPr>
          <w:rFonts w:hint="default" w:ascii="Times New Roman" w:hAnsi="Times New Roman" w:eastAsia="宋体" w:cs="Times New Roman"/>
          <w:spacing w:val="0"/>
          <w:w w:val="100"/>
          <w:sz w:val="32"/>
          <w:szCs w:val="32"/>
          <w:lang w:val="en-US" w:eastAsia="zh-CN"/>
        </w:rPr>
      </w:pPr>
      <w:r>
        <w:rPr>
          <w:rFonts w:hint="default" w:ascii="Times New Roman" w:hAnsi="Times New Roman" w:eastAsia="宋体" w:cs="Times New Roman"/>
          <w:spacing w:val="0"/>
          <w:w w:val="100"/>
          <w:sz w:val="32"/>
          <w:szCs w:val="32"/>
          <w:lang w:val="en-US" w:eastAsia="zh-CN"/>
        </w:rPr>
        <w:t>1 前言</w:t>
      </w:r>
      <w:bookmarkEnd w:id="0"/>
    </w:p>
    <w:p>
      <w:pPr>
        <w:pStyle w:val="5"/>
        <w:keepNext w:val="0"/>
        <w:keepLines w:val="0"/>
        <w:pageBreakBefore w:val="0"/>
        <w:widowControl w:val="0"/>
        <w:kinsoku/>
        <w:wordWrap/>
        <w:overflowPunct/>
        <w:topLinePunct w:val="0"/>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pacing w:val="0"/>
          <w:w w:val="100"/>
          <w:sz w:val="24"/>
          <w:szCs w:val="24"/>
          <w:lang w:val="en-US" w:eastAsia="zh-CN"/>
        </w:rPr>
      </w:pPr>
      <w:r>
        <w:rPr>
          <w:rFonts w:hint="default" w:ascii="Times New Roman" w:hAnsi="Times New Roman" w:cs="Times New Roman"/>
          <w:color w:val="auto"/>
          <w:spacing w:val="0"/>
          <w:w w:val="100"/>
          <w:sz w:val="24"/>
          <w:szCs w:val="24"/>
          <w:lang w:val="en-US" w:eastAsia="zh-CN"/>
        </w:rPr>
        <w:t>世纪诚园（一期）地块</w:t>
      </w:r>
      <w:r>
        <w:rPr>
          <w:rFonts w:hint="eastAsia" w:ascii="Times New Roman" w:hAnsi="Times New Roman" w:cs="Times New Roman"/>
          <w:color w:val="auto"/>
          <w:spacing w:val="0"/>
          <w:w w:val="100"/>
          <w:sz w:val="24"/>
          <w:szCs w:val="24"/>
          <w:lang w:val="en-US" w:eastAsia="zh-CN"/>
        </w:rPr>
        <w:t>（项目地块）</w:t>
      </w:r>
      <w:r>
        <w:rPr>
          <w:rFonts w:hint="default" w:ascii="Times New Roman" w:hAnsi="Times New Roman" w:eastAsia="宋体" w:cs="Times New Roman"/>
          <w:color w:val="auto"/>
          <w:spacing w:val="0"/>
          <w:w w:val="100"/>
          <w:sz w:val="24"/>
          <w:szCs w:val="24"/>
          <w:lang w:val="en-US" w:eastAsia="zh-CN"/>
        </w:rPr>
        <w:t>位于</w:t>
      </w:r>
      <w:r>
        <w:rPr>
          <w:rFonts w:hint="default" w:ascii="Times New Roman" w:hAnsi="Times New Roman" w:eastAsia="宋体" w:cs="Times New Roman"/>
          <w:color w:val="auto"/>
          <w:spacing w:val="0"/>
          <w:sz w:val="24"/>
          <w:szCs w:val="24"/>
          <w:lang w:val="en-US" w:eastAsia="zh-CN"/>
        </w:rPr>
        <w:t>临沂市</w:t>
      </w:r>
      <w:r>
        <w:rPr>
          <w:rFonts w:hint="default" w:ascii="Times New Roman" w:hAnsi="Times New Roman" w:cs="Times New Roman"/>
          <w:color w:val="auto"/>
          <w:spacing w:val="0"/>
          <w:sz w:val="24"/>
          <w:szCs w:val="24"/>
          <w:lang w:val="en-US" w:eastAsia="zh-CN"/>
        </w:rPr>
        <w:t>临沭县沭新西街与光明北路交汇处西南</w:t>
      </w:r>
      <w:r>
        <w:rPr>
          <w:rFonts w:hint="default" w:ascii="Times New Roman" w:hAnsi="Times New Roman" w:eastAsia="宋体" w:cs="Times New Roman"/>
          <w:color w:val="auto"/>
          <w:spacing w:val="0"/>
          <w:w w:val="100"/>
          <w:sz w:val="24"/>
          <w:szCs w:val="24"/>
          <w:lang w:val="en-US" w:eastAsia="zh-CN"/>
        </w:rPr>
        <w:t>，</w:t>
      </w:r>
      <w:r>
        <w:rPr>
          <w:rFonts w:hint="default" w:ascii="Times New Roman" w:hAnsi="Times New Roman" w:cs="Times New Roman"/>
          <w:color w:val="auto"/>
          <w:spacing w:val="0"/>
          <w:w w:val="100"/>
          <w:sz w:val="24"/>
          <w:szCs w:val="24"/>
          <w:lang w:val="en-US" w:eastAsia="zh-CN"/>
        </w:rPr>
        <w:t>地块</w:t>
      </w:r>
      <w:r>
        <w:rPr>
          <w:rFonts w:hint="default" w:ascii="Times New Roman" w:hAnsi="Times New Roman" w:eastAsia="宋体" w:cs="Times New Roman"/>
          <w:color w:val="auto"/>
          <w:spacing w:val="0"/>
          <w:w w:val="100"/>
          <w:sz w:val="24"/>
          <w:szCs w:val="24"/>
          <w:lang w:val="en-US" w:eastAsia="zh-CN"/>
        </w:rPr>
        <w:t>东至</w:t>
      </w:r>
      <w:r>
        <w:rPr>
          <w:rFonts w:hint="default" w:ascii="Times New Roman" w:hAnsi="Times New Roman" w:cs="Times New Roman"/>
          <w:color w:val="auto"/>
          <w:spacing w:val="0"/>
          <w:w w:val="100"/>
          <w:sz w:val="24"/>
          <w:szCs w:val="24"/>
          <w:lang w:val="en-US" w:eastAsia="zh-CN"/>
        </w:rPr>
        <w:t>光明北路</w:t>
      </w:r>
      <w:r>
        <w:rPr>
          <w:rFonts w:hint="default" w:ascii="Times New Roman" w:hAnsi="Times New Roman" w:eastAsia="宋体" w:cs="Times New Roman"/>
          <w:color w:val="auto"/>
          <w:spacing w:val="0"/>
          <w:sz w:val="24"/>
          <w:szCs w:val="24"/>
          <w:lang w:val="en-US" w:eastAsia="zh-CN"/>
        </w:rPr>
        <w:t>，北至</w:t>
      </w:r>
      <w:r>
        <w:rPr>
          <w:rFonts w:hint="default" w:ascii="Times New Roman" w:hAnsi="Times New Roman" w:cs="Times New Roman"/>
          <w:color w:val="auto"/>
          <w:spacing w:val="0"/>
          <w:sz w:val="24"/>
          <w:szCs w:val="24"/>
          <w:lang w:val="en-US" w:eastAsia="zh-CN"/>
        </w:rPr>
        <w:t>临沭街道苍河社区居委会土地</w:t>
      </w:r>
      <w:r>
        <w:rPr>
          <w:rFonts w:hint="default" w:ascii="Times New Roman" w:hAnsi="Times New Roman" w:eastAsia="宋体" w:cs="Times New Roman"/>
          <w:color w:val="auto"/>
          <w:spacing w:val="0"/>
          <w:sz w:val="24"/>
          <w:szCs w:val="24"/>
          <w:lang w:val="en-US" w:eastAsia="zh-CN"/>
        </w:rPr>
        <w:t>，</w:t>
      </w:r>
      <w:r>
        <w:rPr>
          <w:rFonts w:hint="default" w:ascii="Times New Roman" w:hAnsi="Times New Roman" w:eastAsia="宋体" w:cs="Times New Roman"/>
          <w:color w:val="auto"/>
          <w:spacing w:val="0"/>
          <w:w w:val="100"/>
          <w:sz w:val="24"/>
          <w:szCs w:val="24"/>
          <w:lang w:val="en-US" w:eastAsia="zh-CN"/>
        </w:rPr>
        <w:t>西至</w:t>
      </w:r>
      <w:r>
        <w:rPr>
          <w:rFonts w:hint="eastAsia" w:ascii="Times New Roman" w:hAnsi="Times New Roman" w:cs="Times New Roman"/>
          <w:color w:val="auto"/>
          <w:spacing w:val="0"/>
          <w:w w:val="100"/>
          <w:sz w:val="24"/>
          <w:szCs w:val="24"/>
          <w:lang w:val="en-US" w:eastAsia="zh-CN"/>
        </w:rPr>
        <w:t>临沭县供热服务有限公司</w:t>
      </w:r>
      <w:r>
        <w:rPr>
          <w:rFonts w:hint="default" w:ascii="Times New Roman" w:hAnsi="Times New Roman" w:eastAsia="宋体" w:cs="Times New Roman"/>
          <w:color w:val="auto"/>
          <w:spacing w:val="0"/>
          <w:w w:val="100"/>
          <w:sz w:val="24"/>
          <w:szCs w:val="24"/>
          <w:lang w:val="en-US" w:eastAsia="zh-CN"/>
        </w:rPr>
        <w:t>，南至</w:t>
      </w:r>
      <w:r>
        <w:rPr>
          <w:rFonts w:hint="default" w:ascii="Times New Roman" w:hAnsi="Times New Roman" w:cs="Times New Roman"/>
          <w:color w:val="auto"/>
          <w:spacing w:val="0"/>
          <w:w w:val="100"/>
          <w:sz w:val="24"/>
          <w:szCs w:val="24"/>
          <w:lang w:val="en-US" w:eastAsia="zh-CN"/>
        </w:rPr>
        <w:t>顺河西路</w:t>
      </w:r>
      <w:r>
        <w:rPr>
          <w:rFonts w:hint="default" w:ascii="Times New Roman" w:hAnsi="Times New Roman" w:eastAsia="宋体" w:cs="Times New Roman"/>
          <w:color w:val="auto"/>
          <w:spacing w:val="0"/>
          <w:w w:val="100"/>
          <w:sz w:val="24"/>
          <w:szCs w:val="24"/>
          <w:lang w:val="en-US" w:eastAsia="zh-CN"/>
        </w:rPr>
        <w:t>，总面积</w:t>
      </w:r>
      <w:r>
        <w:rPr>
          <w:rFonts w:hint="default" w:ascii="Times New Roman" w:hAnsi="Times New Roman" w:cs="Times New Roman"/>
          <w:color w:val="auto"/>
          <w:spacing w:val="0"/>
          <w:w w:val="100"/>
          <w:sz w:val="24"/>
          <w:szCs w:val="24"/>
          <w:lang w:val="en-US" w:eastAsia="zh-CN"/>
        </w:rPr>
        <w:t>41251</w:t>
      </w:r>
      <w:r>
        <w:rPr>
          <w:rFonts w:hint="default" w:ascii="Times New Roman" w:hAnsi="Times New Roman" w:cs="Times New Roman" w:eastAsiaTheme="minorEastAsia"/>
          <w:color w:val="auto"/>
          <w:lang w:val="en-US" w:eastAsia="zh-CN"/>
        </w:rPr>
        <w:t>m</w:t>
      </w:r>
      <w:r>
        <w:rPr>
          <w:rFonts w:hint="default" w:ascii="Times New Roman" w:hAnsi="Times New Roman" w:cs="Times New Roman" w:eastAsiaTheme="minorEastAsia"/>
          <w:color w:val="auto"/>
          <w:vertAlign w:val="superscript"/>
          <w:lang w:val="en-US" w:eastAsia="zh-CN"/>
        </w:rPr>
        <w:t>2</w:t>
      </w:r>
      <w:r>
        <w:rPr>
          <w:rFonts w:hint="default" w:ascii="Times New Roman" w:hAnsi="Times New Roman" w:cs="Times New Roman" w:eastAsiaTheme="minorEastAsia"/>
          <w:color w:val="auto"/>
          <w:lang w:val="en-US" w:eastAsia="zh-CN"/>
        </w:rPr>
        <w:t>（约61.88亩）</w:t>
      </w:r>
      <w:r>
        <w:rPr>
          <w:rFonts w:hint="default" w:ascii="Times New Roman" w:hAnsi="Times New Roman" w:eastAsia="宋体" w:cs="Times New Roman"/>
          <w:color w:val="auto"/>
          <w:spacing w:val="0"/>
          <w:w w:val="100"/>
          <w:sz w:val="24"/>
          <w:szCs w:val="24"/>
          <w:lang w:val="en-US" w:eastAsia="zh-CN"/>
        </w:rPr>
        <w:t>。中心点坐标为东经118.</w:t>
      </w:r>
      <w:r>
        <w:rPr>
          <w:rFonts w:hint="default" w:ascii="Times New Roman" w:hAnsi="Times New Roman" w:cs="Times New Roman"/>
          <w:color w:val="auto"/>
          <w:spacing w:val="0"/>
          <w:w w:val="100"/>
          <w:sz w:val="24"/>
          <w:szCs w:val="24"/>
          <w:lang w:val="en-US" w:eastAsia="zh-CN"/>
        </w:rPr>
        <w:t>630152</w:t>
      </w:r>
      <w:r>
        <w:rPr>
          <w:rFonts w:hint="default" w:ascii="Times New Roman" w:hAnsi="Times New Roman" w:eastAsia="宋体" w:cs="Times New Roman"/>
          <w:color w:val="auto"/>
          <w:spacing w:val="0"/>
          <w:w w:val="100"/>
          <w:sz w:val="24"/>
          <w:szCs w:val="24"/>
          <w:lang w:val="en-US" w:eastAsia="zh-CN"/>
        </w:rPr>
        <w:t>°，北纬34.</w:t>
      </w:r>
      <w:r>
        <w:rPr>
          <w:rFonts w:hint="default" w:ascii="Times New Roman" w:hAnsi="Times New Roman" w:cs="Times New Roman"/>
          <w:color w:val="auto"/>
          <w:spacing w:val="0"/>
          <w:w w:val="100"/>
          <w:sz w:val="24"/>
          <w:szCs w:val="24"/>
          <w:lang w:val="en-US" w:eastAsia="zh-CN"/>
        </w:rPr>
        <w:t>923042</w:t>
      </w:r>
      <w:r>
        <w:rPr>
          <w:rFonts w:hint="default" w:ascii="Times New Roman" w:hAnsi="Times New Roman" w:eastAsia="宋体" w:cs="Times New Roman"/>
          <w:color w:val="auto"/>
          <w:spacing w:val="0"/>
          <w:w w:val="100"/>
          <w:sz w:val="24"/>
          <w:szCs w:val="24"/>
          <w:lang w:val="en-US" w:eastAsia="zh-CN"/>
        </w:rPr>
        <w:t>°。</w:t>
      </w:r>
      <w:r>
        <w:rPr>
          <w:rFonts w:hint="eastAsia" w:ascii="Times New Roman" w:hAnsi="Times New Roman" w:cs="Times New Roman"/>
          <w:color w:val="auto"/>
          <w:spacing w:val="0"/>
          <w:w w:val="100"/>
          <w:sz w:val="24"/>
          <w:szCs w:val="24"/>
          <w:lang w:val="en-US" w:eastAsia="zh-CN"/>
        </w:rPr>
        <w:t>依据</w:t>
      </w:r>
      <w:r>
        <w:rPr>
          <w:rFonts w:hint="eastAsia" w:ascii="Times New Roman" w:hAnsi="Times New Roman" w:cs="Times New Roman"/>
          <w:spacing w:val="0"/>
          <w:w w:val="100"/>
          <w:sz w:val="24"/>
          <w:lang w:val="en-US" w:eastAsia="zh-CN"/>
        </w:rPr>
        <w:t>《临沭县县城总体规划图》（2018-2035），</w:t>
      </w:r>
      <w:r>
        <w:rPr>
          <w:rFonts w:hint="eastAsia" w:ascii="Times New Roman" w:hAnsi="Times New Roman" w:eastAsia="宋体" w:cs="Times New Roman"/>
          <w:spacing w:val="0"/>
          <w:w w:val="100"/>
          <w:sz w:val="24"/>
          <w:szCs w:val="24"/>
          <w:lang w:val="en-US" w:eastAsia="zh-CN"/>
        </w:rPr>
        <w:t>项目地块规划用途为</w:t>
      </w:r>
      <w:r>
        <w:rPr>
          <w:rFonts w:hint="eastAsia" w:ascii="Times New Roman" w:hAnsi="Times New Roman" w:cs="Times New Roman"/>
          <w:spacing w:val="0"/>
          <w:w w:val="100"/>
          <w:sz w:val="24"/>
          <w:lang w:val="en-US" w:eastAsia="zh-CN"/>
        </w:rPr>
        <w:t>二类居住用地。</w:t>
      </w:r>
    </w:p>
    <w:p>
      <w:pPr>
        <w:pStyle w:val="5"/>
        <w:keepNext w:val="0"/>
        <w:keepLines w:val="0"/>
        <w:pageBreakBefore w:val="0"/>
        <w:widowControl w:val="0"/>
        <w:kinsoku/>
        <w:wordWrap/>
        <w:overflowPunct/>
        <w:topLinePunct w:val="0"/>
        <w:bidi w:val="0"/>
        <w:adjustRightInd/>
        <w:snapToGrid/>
        <w:spacing w:line="360" w:lineRule="auto"/>
        <w:ind w:left="0" w:right="0" w:firstLine="476" w:firstLineChars="200"/>
        <w:jc w:val="both"/>
        <w:textAlignment w:val="auto"/>
        <w:rPr>
          <w:rFonts w:hint="default" w:ascii="Times New Roman" w:hAnsi="Times New Roman" w:cs="Times New Roman" w:eastAsiaTheme="minorEastAsia"/>
          <w:color w:val="000000" w:themeColor="text1"/>
          <w:spacing w:val="-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
          <w:sz w:val="24"/>
          <w:szCs w:val="24"/>
          <w:highlight w:val="none"/>
          <w:lang w:val="en-US" w:eastAsia="zh-CN"/>
          <w14:textFill>
            <w14:solidFill>
              <w14:schemeClr w14:val="tx1"/>
            </w14:solidFill>
          </w14:textFill>
        </w:rPr>
        <w:t>由于临沭县供热服务有限公司2021年度冬季供暖期间其公司内凉水塔、循环水池、泵房等设备设施还需正常运转，尚不具备收储条件，本次只对</w:t>
      </w:r>
      <w:r>
        <w:rPr>
          <w:rFonts w:hint="eastAsia" w:ascii="Times New Roman" w:hAnsi="Times New Roman" w:cs="Times New Roman" w:eastAsiaTheme="minorEastAsia"/>
          <w:color w:val="000000" w:themeColor="text1"/>
          <w:spacing w:val="-1"/>
          <w:sz w:val="24"/>
          <w:szCs w:val="24"/>
          <w:highlight w:val="none"/>
          <w:lang w:val="en-US" w:eastAsia="zh-CN"/>
          <w14:textFill>
            <w14:solidFill>
              <w14:schemeClr w14:val="tx1"/>
            </w14:solidFill>
          </w14:textFill>
        </w:rPr>
        <w:t>已收储的</w:t>
      </w:r>
      <w:r>
        <w:rPr>
          <w:rFonts w:hint="default" w:ascii="Times New Roman" w:hAnsi="Times New Roman" w:cs="Times New Roman" w:eastAsiaTheme="minorEastAsia"/>
          <w:color w:val="000000" w:themeColor="text1"/>
          <w:spacing w:val="-1"/>
          <w:sz w:val="24"/>
          <w:szCs w:val="24"/>
          <w:highlight w:val="none"/>
          <w:lang w:val="en-US" w:eastAsia="zh-CN"/>
          <w14:textFill>
            <w14:solidFill>
              <w14:schemeClr w14:val="tx1"/>
            </w14:solidFill>
          </w14:textFill>
        </w:rPr>
        <w:t>临沭县供热服务有限公司内东侧区域（煤库、供热服务大厅、办公楼、职工食堂等</w:t>
      </w:r>
      <w:r>
        <w:rPr>
          <w:rFonts w:hint="eastAsia" w:ascii="Times New Roman" w:hAnsi="Times New Roman" w:cs="Times New Roman" w:eastAsiaTheme="minorEastAsia"/>
          <w:color w:val="000000" w:themeColor="text1"/>
          <w:spacing w:val="-1"/>
          <w:sz w:val="24"/>
          <w:szCs w:val="24"/>
          <w:highlight w:val="none"/>
          <w:lang w:val="en-US" w:eastAsia="zh-CN"/>
          <w14:textFill>
            <w14:solidFill>
              <w14:schemeClr w14:val="tx1"/>
            </w14:solidFill>
          </w14:textFill>
        </w:rPr>
        <w:t>）和</w:t>
      </w:r>
      <w:r>
        <w:rPr>
          <w:rFonts w:hint="default" w:ascii="Times New Roman" w:hAnsi="Times New Roman" w:cs="Times New Roman" w:eastAsiaTheme="minorEastAsia"/>
          <w:color w:val="000000" w:themeColor="text1"/>
          <w:spacing w:val="-1"/>
          <w:sz w:val="24"/>
          <w:szCs w:val="24"/>
          <w:highlight w:val="none"/>
          <w:lang w:val="en-US" w:eastAsia="zh-CN"/>
          <w14:textFill>
            <w14:solidFill>
              <w14:schemeClr w14:val="tx1"/>
            </w14:solidFill>
          </w14:textFill>
        </w:rPr>
        <w:t>临沭县镇南建筑公司用地进行调查采样。</w:t>
      </w:r>
    </w:p>
    <w:p>
      <w:pPr>
        <w:pStyle w:val="5"/>
        <w:keepNext w:val="0"/>
        <w:keepLines w:val="0"/>
        <w:pageBreakBefore w:val="0"/>
        <w:widowControl w:val="0"/>
        <w:kinsoku/>
        <w:wordWrap/>
        <w:overflowPunct/>
        <w:topLinePunct w:val="0"/>
        <w:bidi w:val="0"/>
        <w:adjustRightInd/>
        <w:snapToGrid/>
        <w:spacing w:line="360" w:lineRule="auto"/>
        <w:ind w:left="0" w:right="0" w:firstLine="476" w:firstLineChars="200"/>
        <w:jc w:val="both"/>
        <w:textAlignment w:val="auto"/>
        <w:rPr>
          <w:rFonts w:hint="default" w:ascii="Times New Roman" w:hAnsi="Times New Roman" w:eastAsia="宋体" w:cs="Times New Roman"/>
          <w:color w:val="auto"/>
          <w:spacing w:val="0"/>
          <w:w w:val="100"/>
          <w:sz w:val="24"/>
          <w:szCs w:val="24"/>
          <w:lang w:val="en-US" w:eastAsia="zh-CN"/>
        </w:rPr>
      </w:pPr>
      <w:r>
        <w:rPr>
          <w:rFonts w:hint="default" w:ascii="Times New Roman" w:hAnsi="Times New Roman" w:cs="Times New Roman" w:eastAsiaTheme="minorEastAsia"/>
          <w:color w:val="000000" w:themeColor="text1"/>
          <w:spacing w:val="-1"/>
          <w:sz w:val="24"/>
          <w:szCs w:val="24"/>
          <w:highlight w:val="none"/>
          <w:lang w:val="en-US" w:eastAsia="zh-CN"/>
          <w14:textFill>
            <w14:solidFill>
              <w14:schemeClr w14:val="tx1"/>
            </w14:solidFill>
          </w14:textFill>
        </w:rPr>
        <w:t>通过第一阶段调查可知，</w:t>
      </w:r>
      <w:r>
        <w:rPr>
          <w:rFonts w:hint="eastAsia" w:ascii="Times New Roman" w:hAnsi="Times New Roman" w:cs="Times New Roman" w:eastAsiaTheme="minorEastAsia"/>
          <w:color w:val="000000" w:themeColor="text1"/>
          <w:spacing w:val="0"/>
          <w:sz w:val="24"/>
          <w:szCs w:val="24"/>
          <w:highlight w:val="none"/>
          <w:lang w:val="en-US" w:eastAsia="zh-CN"/>
          <w14:textFill>
            <w14:solidFill>
              <w14:schemeClr w14:val="tx1"/>
            </w14:solidFill>
          </w14:textFill>
        </w:rPr>
        <w:t>项目</w:t>
      </w:r>
      <w:r>
        <w:rPr>
          <w:rFonts w:hint="eastAsia" w:ascii="Times New Roman" w:hAnsi="Times New Roman" w:eastAsia="宋体" w:cstheme="minorEastAsia"/>
          <w:color w:val="000000" w:themeColor="text1"/>
          <w:spacing w:val="0"/>
          <w:w w:val="100"/>
          <w:sz w:val="24"/>
          <w:szCs w:val="24"/>
          <w:lang w:val="en-US" w:eastAsia="zh-CN"/>
          <w14:textFill>
            <w14:solidFill>
              <w14:schemeClr w14:val="tx1"/>
            </w14:solidFill>
          </w14:textFill>
        </w:rPr>
        <w:t>地块</w:t>
      </w:r>
      <w:r>
        <w:rPr>
          <w:rFonts w:hint="eastAsia" w:ascii="Times New Roman" w:hAnsi="Times New Roman" w:cstheme="minorEastAsia"/>
          <w:color w:val="000000" w:themeColor="text1"/>
          <w:spacing w:val="0"/>
          <w:w w:val="100"/>
          <w:sz w:val="24"/>
          <w:szCs w:val="24"/>
          <w:lang w:val="en-US" w:eastAsia="zh-CN"/>
          <w14:textFill>
            <w14:solidFill>
              <w14:schemeClr w14:val="tx1"/>
            </w14:solidFill>
          </w14:textFill>
        </w:rPr>
        <w:t>1987年之前为临沭县镇南街居委会农用地，1987年在地块北部建设临沭县发电厂（2013年更名为临沭县供热服务有限公司）</w:t>
      </w:r>
      <w:r>
        <w:rPr>
          <w:rFonts w:hint="eastAsia" w:ascii="Times New Roman" w:hAnsi="Times New Roman" w:cstheme="minorEastAsia"/>
          <w:color w:val="000000" w:themeColor="text1"/>
          <w:spacing w:val="0"/>
          <w:w w:val="100"/>
          <w:sz w:val="24"/>
          <w:lang w:val="en-US" w:eastAsia="zh-CN"/>
          <w14:textFill>
            <w14:solidFill>
              <w14:schemeClr w14:val="tx1"/>
            </w14:solidFill>
          </w14:textFill>
        </w:rPr>
        <w:t>并投产发电，1999年进行扩建，在项目地块西侧增加1台75t/h的循环流化床锅炉及配套设备设施，2008年</w:t>
      </w:r>
      <w:r>
        <w:rPr>
          <w:rFonts w:hint="eastAsia" w:ascii="Arial" w:hAnsi="Arial" w:cs="Arial"/>
          <w:color w:val="000000" w:themeColor="text1"/>
          <w:spacing w:val="0"/>
          <w:w w:val="100"/>
          <w:sz w:val="24"/>
          <w:lang w:val="en-US" w:eastAsia="zh-CN"/>
          <w14:textFill>
            <w14:solidFill>
              <w14:schemeClr w14:val="tx1"/>
            </w14:solidFill>
          </w14:textFill>
        </w:rPr>
        <w:t>在西侧</w:t>
      </w:r>
      <w:r>
        <w:rPr>
          <w:rFonts w:hint="eastAsia" w:ascii="Times New Roman" w:hAnsi="Times New Roman" w:cstheme="minorEastAsia"/>
          <w:color w:val="000000" w:themeColor="text1"/>
          <w:spacing w:val="0"/>
          <w:w w:val="100"/>
          <w:sz w:val="24"/>
          <w:lang w:val="en-US" w:eastAsia="zh-CN"/>
          <w14:textFill>
            <w14:solidFill>
              <w14:schemeClr w14:val="tx1"/>
            </w14:solidFill>
          </w14:textFill>
        </w:rPr>
        <w:t>1台75t/h的循环流化床锅炉的基础上增加1台45t/h的循环流化床锅炉，同期对项目地块内的发电设备</w:t>
      </w:r>
      <w:r>
        <w:rPr>
          <w:rFonts w:hint="eastAsia" w:ascii="Arial" w:hAnsi="Arial" w:cs="Arial"/>
          <w:color w:val="000000" w:themeColor="text1"/>
          <w:spacing w:val="0"/>
          <w:w w:val="100"/>
          <w:sz w:val="24"/>
          <w:lang w:val="en-US" w:eastAsia="zh-CN"/>
          <w14:textFill>
            <w14:solidFill>
              <w14:schemeClr w14:val="tx1"/>
            </w14:solidFill>
          </w14:textFill>
        </w:rPr>
        <w:t>进行拆除并改建为供热服务大厅</w:t>
      </w:r>
      <w:r>
        <w:rPr>
          <w:rFonts w:hint="eastAsia" w:ascii="Times New Roman" w:hAnsi="Times New Roman" w:cstheme="minorEastAsia"/>
          <w:color w:val="000000" w:themeColor="text1"/>
          <w:spacing w:val="0"/>
          <w:w w:val="100"/>
          <w:sz w:val="24"/>
          <w:lang w:val="en-US" w:eastAsia="zh-CN"/>
          <w14:textFill>
            <w14:solidFill>
              <w14:schemeClr w14:val="tx1"/>
            </w14:solidFill>
          </w14:textFill>
        </w:rPr>
        <w:t>。</w:t>
      </w:r>
      <w:r>
        <w:rPr>
          <w:rFonts w:hint="eastAsia" w:ascii="Times New Roman" w:hAnsi="Times New Roman" w:cstheme="minorEastAsia"/>
          <w:color w:val="000000" w:themeColor="text1"/>
          <w:spacing w:val="0"/>
          <w:w w:val="100"/>
          <w:sz w:val="24"/>
          <w:szCs w:val="24"/>
          <w:lang w:val="en-US" w:eastAsia="zh-CN"/>
          <w14:textFill>
            <w14:solidFill>
              <w14:schemeClr w14:val="tx1"/>
            </w14:solidFill>
          </w14:textFill>
        </w:rPr>
        <w:t>1994年在项目地块南部建设临沭县镇南建筑公司，主要为办公及建材存放，无生产活动。2021年</w:t>
      </w:r>
      <w:r>
        <w:rPr>
          <w:rFonts w:hint="default" w:ascii="Times New Roman" w:hAnsi="Times New Roman" w:cs="Times New Roman"/>
          <w:color w:val="000000" w:themeColor="text1"/>
          <w:spacing w:val="0"/>
          <w:w w:val="100"/>
          <w:sz w:val="24"/>
          <w:szCs w:val="24"/>
          <w:lang w:val="en-US" w:eastAsia="zh-CN"/>
          <w14:textFill>
            <w14:solidFill>
              <w14:schemeClr w14:val="tx1"/>
            </w14:solidFill>
          </w14:textFill>
        </w:rPr>
        <w:t>临沭县人民政府</w:t>
      </w:r>
      <w:r>
        <w:rPr>
          <w:rFonts w:hint="eastAsia" w:ascii="Times New Roman" w:hAnsi="Times New Roman" w:cstheme="minorEastAsia"/>
          <w:color w:val="000000" w:themeColor="text1"/>
          <w:spacing w:val="0"/>
          <w:w w:val="100"/>
          <w:sz w:val="24"/>
          <w:szCs w:val="24"/>
          <w:lang w:val="en-US" w:eastAsia="zh-CN"/>
          <w14:textFill>
            <w14:solidFill>
              <w14:schemeClr w14:val="tx1"/>
            </w14:solidFill>
          </w14:textFill>
        </w:rPr>
        <w:t>对项目地块收储，11月对项目地块内建筑物进行拆除，目前已拆除完毕，地块闲置中</w:t>
      </w:r>
      <w:r>
        <w:rPr>
          <w:rFonts w:hint="default" w:ascii="Times New Roman" w:hAnsi="Times New Roman" w:cs="Times New Roman"/>
          <w:color w:val="000000" w:themeColor="text1"/>
          <w:spacing w:val="0"/>
          <w:w w:val="100"/>
          <w:sz w:val="24"/>
          <w:szCs w:val="24"/>
          <w:lang w:val="en-US" w:eastAsia="zh-CN"/>
          <w14:textFill>
            <w14:solidFill>
              <w14:schemeClr w14:val="tx1"/>
            </w14:solidFill>
          </w14:textFill>
        </w:rPr>
        <w:t>。</w:t>
      </w:r>
    </w:p>
    <w:p>
      <w:pPr>
        <w:pStyle w:val="5"/>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right="0" w:firstLine="480" w:firstLineChars="200"/>
        <w:jc w:val="both"/>
        <w:textAlignment w:val="auto"/>
        <w:rPr>
          <w:rFonts w:hint="default" w:ascii="Times New Roman" w:hAnsi="Times New Roman" w:eastAsia="宋体" w:cs="Times New Roman"/>
          <w:color w:val="auto"/>
          <w:spacing w:val="0"/>
          <w:w w:val="100"/>
          <w:sz w:val="24"/>
          <w:szCs w:val="24"/>
        </w:rPr>
      </w:pPr>
      <w:r>
        <w:rPr>
          <w:rFonts w:hint="default" w:ascii="Times New Roman" w:hAnsi="Times New Roman" w:eastAsia="宋体" w:cs="Times New Roman"/>
          <w:color w:val="auto"/>
          <w:spacing w:val="0"/>
          <w:w w:val="100"/>
          <w:sz w:val="24"/>
          <w:szCs w:val="24"/>
          <w:lang w:val="en-US" w:eastAsia="zh-CN"/>
        </w:rPr>
        <w:t>根据《中华人民共和国土壤污染防治法》第 59 条第二款要求，用途变更为</w:t>
      </w:r>
      <w:r>
        <w:rPr>
          <w:rFonts w:hint="default" w:ascii="Times New Roman" w:hAnsi="Times New Roman" w:eastAsia="宋体" w:cs="Times New Roman"/>
          <w:color w:val="auto"/>
          <w:spacing w:val="0"/>
          <w:w w:val="100"/>
          <w:sz w:val="24"/>
          <w:szCs w:val="24"/>
        </w:rPr>
        <w:t>住宅、公共管理与公共服务用地的，变更前应当按照规定进行土壤污染状况调查。项目单位为摸清地块的土壤环境质量状况，确定项目所在地是否符合土地性质变更的条件，</w:t>
      </w:r>
      <w:r>
        <w:rPr>
          <w:rFonts w:hint="default" w:ascii="Times New Roman" w:hAnsi="Times New Roman" w:cs="Times New Roman"/>
          <w:color w:val="auto"/>
          <w:spacing w:val="0"/>
          <w:w w:val="100"/>
          <w:sz w:val="24"/>
          <w:szCs w:val="24"/>
          <w:lang w:eastAsia="zh-CN"/>
        </w:rPr>
        <w:t>临沭县铭德房地产开发有限公司</w:t>
      </w:r>
      <w:r>
        <w:rPr>
          <w:rFonts w:hint="default" w:ascii="Times New Roman" w:hAnsi="Times New Roman" w:eastAsia="宋体" w:cs="Times New Roman"/>
          <w:color w:val="auto"/>
          <w:spacing w:val="0"/>
          <w:w w:val="100"/>
          <w:sz w:val="24"/>
          <w:szCs w:val="24"/>
        </w:rPr>
        <w:t>委托我单位（</w:t>
      </w:r>
      <w:r>
        <w:rPr>
          <w:rFonts w:hint="default" w:ascii="Times New Roman" w:hAnsi="Times New Roman" w:eastAsia="宋体" w:cs="Times New Roman"/>
          <w:color w:val="auto"/>
          <w:spacing w:val="0"/>
          <w:w w:val="100"/>
          <w:sz w:val="24"/>
          <w:szCs w:val="24"/>
          <w:lang w:val="en-US" w:eastAsia="zh-CN"/>
        </w:rPr>
        <w:t>山东蓝一检测技术有限公司</w:t>
      </w:r>
      <w:r>
        <w:rPr>
          <w:rFonts w:hint="default" w:ascii="Times New Roman" w:hAnsi="Times New Roman" w:eastAsia="宋体" w:cs="Times New Roman"/>
          <w:color w:val="auto"/>
          <w:spacing w:val="0"/>
          <w:w w:val="100"/>
          <w:sz w:val="24"/>
          <w:szCs w:val="24"/>
        </w:rPr>
        <w:t>）对该地块开展土壤污染状况调查工作，以查清地块范围内土壤、地下水的污染状况，提出合理可行的环境管理建议。</w:t>
      </w:r>
    </w:p>
    <w:p>
      <w:pPr>
        <w:pStyle w:val="5"/>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right="0" w:firstLine="480" w:firstLineChars="200"/>
        <w:jc w:val="both"/>
        <w:textAlignment w:val="auto"/>
        <w:rPr>
          <w:rFonts w:hint="default" w:ascii="Times New Roman" w:hAnsi="Times New Roman" w:eastAsia="宋体" w:cs="Times New Roman"/>
          <w:color w:val="auto"/>
          <w:spacing w:val="0"/>
          <w:w w:val="100"/>
          <w:sz w:val="24"/>
          <w:szCs w:val="24"/>
        </w:rPr>
      </w:pPr>
      <w:r>
        <w:rPr>
          <w:rFonts w:hint="default" w:ascii="Times New Roman" w:hAnsi="Times New Roman" w:eastAsia="宋体" w:cs="Times New Roman"/>
          <w:color w:val="auto"/>
          <w:spacing w:val="0"/>
          <w:w w:val="100"/>
          <w:sz w:val="24"/>
          <w:szCs w:val="24"/>
        </w:rPr>
        <w:t>我单位接受委托后，立即组织有关技术人员对项目地块及其周围环境进行了现场勘查、人员访谈和相关资料的收集、核实与分析工作，进而识别、判断地块土壤和地下水污染的可能性，分析可能存在的污染源、污染因子、污染途径，从而制定调查采样方案，进行采样分析，确定污染物种类、污染范围及污染程度等。</w:t>
      </w:r>
    </w:p>
    <w:p>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cs="Times New Roman"/>
          <w:color w:val="000000" w:themeColor="text1"/>
          <w:spacing w:val="0"/>
          <w:sz w:val="24"/>
          <w:szCs w:val="24"/>
          <w:lang w:val="en-US" w:eastAsia="zh-CN"/>
          <w14:textFill>
            <w14:solidFill>
              <w14:schemeClr w14:val="tx1"/>
            </w14:solidFill>
          </w14:textFill>
        </w:rPr>
      </w:pPr>
      <w:bookmarkStart w:id="34" w:name="_GoBack"/>
      <w:bookmarkEnd w:id="34"/>
    </w:p>
    <w:p>
      <w:pPr>
        <w:pStyle w:val="15"/>
        <w:keepNext w:val="0"/>
        <w:keepLines w:val="0"/>
        <w:pageBreakBefore w:val="0"/>
        <w:widowControl w:val="0"/>
        <w:numPr>
          <w:ilvl w:val="0"/>
          <w:numId w:val="0"/>
        </w:numPr>
        <w:tabs>
          <w:tab w:val="left" w:pos="1006"/>
        </w:tabs>
        <w:kinsoku/>
        <w:wordWrap/>
        <w:overflowPunct/>
        <w:topLinePunct w:val="0"/>
        <w:bidi w:val="0"/>
        <w:adjustRightInd/>
        <w:snapToGrid/>
        <w:spacing w:line="360" w:lineRule="auto"/>
        <w:ind w:left="0" w:right="0" w:rightChars="0" w:firstLine="480" w:firstLineChars="200"/>
        <w:jc w:val="both"/>
        <w:textAlignment w:val="auto"/>
        <w:rPr>
          <w:rFonts w:hint="default" w:ascii="Times New Roman" w:hAnsi="Times New Roman" w:eastAsia="宋体" w:cs="Times New Roman"/>
          <w:i w:val="0"/>
          <w:color w:val="auto"/>
          <w:spacing w:val="0"/>
          <w:w w:val="100"/>
          <w:kern w:val="0"/>
          <w:sz w:val="24"/>
          <w:szCs w:val="24"/>
          <w:highlight w:val="none"/>
          <w:u w:val="none"/>
          <w:lang w:val="en-US" w:eastAsia="zh-CN" w:bidi="ar"/>
        </w:rPr>
      </w:pPr>
      <w:r>
        <w:rPr>
          <w:rFonts w:hint="eastAsia" w:ascii="Times New Roman" w:hAnsi="Times New Roman" w:cs="Times New Roman"/>
          <w:i w:val="0"/>
          <w:color w:val="auto"/>
          <w:spacing w:val="0"/>
          <w:w w:val="100"/>
          <w:kern w:val="0"/>
          <w:sz w:val="24"/>
          <w:szCs w:val="24"/>
          <w:highlight w:val="none"/>
          <w:u w:val="none"/>
          <w:lang w:val="en-US" w:eastAsia="zh-CN" w:bidi="ar"/>
        </w:rPr>
        <w:t>综上</w:t>
      </w:r>
      <w:r>
        <w:rPr>
          <w:rFonts w:hint="default" w:ascii="Times New Roman" w:hAnsi="Times New Roman" w:eastAsia="宋体" w:cs="Times New Roman"/>
          <w:i w:val="0"/>
          <w:color w:val="auto"/>
          <w:spacing w:val="0"/>
          <w:w w:val="100"/>
          <w:kern w:val="0"/>
          <w:sz w:val="24"/>
          <w:szCs w:val="24"/>
          <w:highlight w:val="none"/>
          <w:u w:val="none"/>
          <w:lang w:val="en-US" w:eastAsia="zh-CN" w:bidi="ar"/>
        </w:rPr>
        <w:t>该地块不属于污染地块，满足规划</w:t>
      </w:r>
      <w:r>
        <w:rPr>
          <w:rFonts w:hint="default" w:ascii="Times New Roman" w:hAnsi="Times New Roman" w:cs="Times New Roman"/>
          <w:i w:val="0"/>
          <w:color w:val="auto"/>
          <w:spacing w:val="0"/>
          <w:w w:val="100"/>
          <w:kern w:val="0"/>
          <w:sz w:val="24"/>
          <w:szCs w:val="24"/>
          <w:highlight w:val="none"/>
          <w:u w:val="none"/>
          <w:lang w:val="en-US" w:eastAsia="zh-CN" w:bidi="ar"/>
        </w:rPr>
        <w:t>居住</w:t>
      </w:r>
      <w:r>
        <w:rPr>
          <w:rFonts w:hint="default" w:ascii="Times New Roman" w:hAnsi="Times New Roman" w:eastAsia="宋体" w:cs="Times New Roman"/>
          <w:i w:val="0"/>
          <w:color w:val="auto"/>
          <w:spacing w:val="0"/>
          <w:w w:val="100"/>
          <w:kern w:val="0"/>
          <w:sz w:val="24"/>
          <w:szCs w:val="24"/>
          <w:highlight w:val="none"/>
          <w:u w:val="none"/>
          <w:lang w:val="en-US" w:eastAsia="zh-CN" w:bidi="ar"/>
        </w:rPr>
        <w:t>用地要求，不需要再进行第二阶段土壤污染状况调查的详细采样分析及后续调查。</w:t>
      </w:r>
    </w:p>
    <w:p>
      <w:pPr>
        <w:pStyle w:val="15"/>
        <w:keepNext w:val="0"/>
        <w:keepLines w:val="0"/>
        <w:pageBreakBefore w:val="0"/>
        <w:widowControl w:val="0"/>
        <w:numPr>
          <w:ilvl w:val="0"/>
          <w:numId w:val="0"/>
        </w:numPr>
        <w:tabs>
          <w:tab w:val="left" w:pos="1206"/>
        </w:tabs>
        <w:kinsoku/>
        <w:wordWrap/>
        <w:overflowPunct/>
        <w:topLinePunct w:val="0"/>
        <w:bidi w:val="0"/>
        <w:adjustRightInd/>
        <w:snapToGrid/>
        <w:spacing w:line="360" w:lineRule="auto"/>
        <w:ind w:left="0" w:right="0" w:rightChars="0" w:firstLine="480" w:firstLineChars="200"/>
        <w:jc w:val="both"/>
        <w:textAlignment w:val="auto"/>
        <w:rPr>
          <w:rFonts w:hint="default" w:ascii="Times New Roman" w:hAnsi="Times New Roman" w:eastAsia="宋体" w:cs="Times New Roman"/>
          <w:b w:val="0"/>
          <w:bCs w:val="0"/>
          <w:color w:val="auto"/>
          <w:spacing w:val="0"/>
          <w:w w:val="100"/>
          <w:sz w:val="24"/>
          <w:szCs w:val="24"/>
          <w:highlight w:val="none"/>
          <w:lang w:val="en-US" w:eastAsia="zh-CN"/>
        </w:rPr>
      </w:pPr>
      <w:r>
        <w:rPr>
          <w:rFonts w:hint="default" w:ascii="Times New Roman" w:hAnsi="Times New Roman" w:eastAsia="宋体" w:cs="Times New Roman"/>
          <w:b w:val="0"/>
          <w:bCs w:val="0"/>
          <w:color w:val="auto"/>
          <w:spacing w:val="0"/>
          <w:w w:val="100"/>
          <w:sz w:val="24"/>
          <w:szCs w:val="24"/>
          <w:highlight w:val="none"/>
          <w:lang w:val="en-US" w:eastAsia="zh-CN"/>
        </w:rPr>
        <w:t>在此基础上，按照《建设用地土壤污染状况调查技术导则》（HJ 25</w:t>
      </w:r>
      <w:r>
        <w:rPr>
          <w:rFonts w:hint="default" w:ascii="Times New Roman" w:hAnsi="Times New Roman" w:cs="Times New Roman"/>
          <w:b w:val="0"/>
          <w:bCs w:val="0"/>
          <w:color w:val="auto"/>
          <w:spacing w:val="0"/>
          <w:w w:val="100"/>
          <w:sz w:val="24"/>
          <w:szCs w:val="24"/>
          <w:highlight w:val="none"/>
          <w:lang w:val="en-US" w:eastAsia="zh-CN"/>
        </w:rPr>
        <w:t>.</w:t>
      </w:r>
      <w:r>
        <w:rPr>
          <w:rFonts w:hint="default" w:ascii="Times New Roman" w:hAnsi="Times New Roman" w:eastAsia="宋体" w:cs="Times New Roman"/>
          <w:b w:val="0"/>
          <w:bCs w:val="0"/>
          <w:color w:val="auto"/>
          <w:spacing w:val="0"/>
          <w:w w:val="100"/>
          <w:sz w:val="24"/>
          <w:szCs w:val="24"/>
          <w:highlight w:val="none"/>
          <w:lang w:val="en-US" w:eastAsia="zh-CN"/>
        </w:rPr>
        <w:t>1-2019）、《建设用地土壤污染风险管控和修复监测技术导则》（HJ 25</w:t>
      </w:r>
      <w:r>
        <w:rPr>
          <w:rFonts w:hint="default" w:ascii="Times New Roman" w:hAnsi="Times New Roman" w:cs="Times New Roman"/>
          <w:b w:val="0"/>
          <w:bCs w:val="0"/>
          <w:color w:val="auto"/>
          <w:spacing w:val="0"/>
          <w:w w:val="100"/>
          <w:sz w:val="24"/>
          <w:szCs w:val="24"/>
          <w:highlight w:val="none"/>
          <w:lang w:val="en-US" w:eastAsia="zh-CN"/>
        </w:rPr>
        <w:t>.</w:t>
      </w:r>
      <w:r>
        <w:rPr>
          <w:rFonts w:hint="default" w:ascii="Times New Roman" w:hAnsi="Times New Roman" w:eastAsia="宋体" w:cs="Times New Roman"/>
          <w:b w:val="0"/>
          <w:bCs w:val="0"/>
          <w:color w:val="auto"/>
          <w:spacing w:val="0"/>
          <w:w w:val="100"/>
          <w:sz w:val="24"/>
          <w:szCs w:val="24"/>
          <w:highlight w:val="none"/>
          <w:lang w:val="en-US" w:eastAsia="zh-CN"/>
        </w:rPr>
        <w:t>2-2019）及《建设用地土壤环境调查评估技术指南（试行）》（环保部令[2017]72 号）等相关技术导则要求，完成了地块土壤污染状况调查工作。根据现场踏勘、资料收集、人员访谈以及现场采样的检测结果，编制完成了《</w:t>
      </w:r>
      <w:r>
        <w:rPr>
          <w:rFonts w:hint="default" w:ascii="Times New Roman" w:hAnsi="Times New Roman" w:cs="Times New Roman"/>
          <w:b w:val="0"/>
          <w:bCs w:val="0"/>
          <w:color w:val="auto"/>
          <w:spacing w:val="0"/>
          <w:w w:val="100"/>
          <w:sz w:val="24"/>
          <w:szCs w:val="24"/>
          <w:highlight w:val="none"/>
          <w:lang w:val="en-US" w:eastAsia="zh-CN"/>
        </w:rPr>
        <w:t>世纪诚园（一期）地块</w:t>
      </w:r>
      <w:r>
        <w:rPr>
          <w:rFonts w:hint="default" w:ascii="Times New Roman" w:hAnsi="Times New Roman" w:eastAsia="宋体" w:cs="Times New Roman"/>
          <w:b w:val="0"/>
          <w:bCs w:val="0"/>
          <w:color w:val="auto"/>
          <w:spacing w:val="0"/>
          <w:w w:val="100"/>
          <w:sz w:val="24"/>
          <w:szCs w:val="24"/>
          <w:highlight w:val="none"/>
          <w:lang w:val="en-US" w:eastAsia="zh-CN"/>
        </w:rPr>
        <w:t>土壤污染状况调查报告》。</w:t>
      </w:r>
    </w:p>
    <w:p>
      <w:pPr>
        <w:rPr>
          <w:rFonts w:hint="default" w:ascii="Times New Roman" w:hAnsi="Times New Roman" w:eastAsia="宋体" w:cs="Times New Roman"/>
          <w:spacing w:val="0"/>
          <w:w w:val="100"/>
          <w:sz w:val="32"/>
          <w:szCs w:val="32"/>
          <w:lang w:val="en-US" w:eastAsia="zh-CN"/>
        </w:rPr>
      </w:pPr>
      <w:r>
        <w:rPr>
          <w:rFonts w:hint="default" w:ascii="Times New Roman" w:hAnsi="Times New Roman" w:eastAsia="宋体" w:cs="Times New Roman"/>
          <w:spacing w:val="0"/>
          <w:w w:val="100"/>
          <w:sz w:val="32"/>
          <w:szCs w:val="32"/>
          <w:lang w:val="en-US" w:eastAsia="zh-CN"/>
        </w:rPr>
        <w:br w:type="page"/>
      </w:r>
    </w:p>
    <w:p>
      <w:pPr>
        <w:pStyle w:val="2"/>
        <w:keepNext w:val="0"/>
        <w:keepLines w:val="0"/>
        <w:pageBreakBefore w:val="0"/>
        <w:widowControl w:val="0"/>
        <w:numPr>
          <w:ilvl w:val="0"/>
          <w:numId w:val="0"/>
        </w:numPr>
        <w:tabs>
          <w:tab w:val="left" w:pos="1696"/>
          <w:tab w:val="left" w:pos="2709"/>
          <w:tab w:val="left" w:pos="2710"/>
        </w:tabs>
        <w:kinsoku/>
        <w:wordWrap/>
        <w:overflowPunct/>
        <w:topLinePunct w:val="0"/>
        <w:autoSpaceDE w:val="0"/>
        <w:autoSpaceDN w:val="0"/>
        <w:bidi w:val="0"/>
        <w:adjustRightInd/>
        <w:snapToGrid/>
        <w:spacing w:before="0" w:beforeAutospacing="0" w:after="0" w:afterAutospacing="0" w:line="360" w:lineRule="auto"/>
        <w:ind w:right="0" w:rightChars="0"/>
        <w:jc w:val="center"/>
        <w:textAlignment w:val="auto"/>
        <w:outlineLvl w:val="0"/>
        <w:rPr>
          <w:rFonts w:hint="default" w:ascii="Times New Roman" w:hAnsi="Times New Roman" w:eastAsia="宋体" w:cs="Times New Roman"/>
          <w:spacing w:val="0"/>
          <w:w w:val="100"/>
          <w:sz w:val="32"/>
          <w:szCs w:val="32"/>
          <w:lang w:eastAsia="zh-CN"/>
        </w:rPr>
      </w:pPr>
      <w:bookmarkStart w:id="1" w:name="_Toc8705"/>
      <w:r>
        <w:rPr>
          <w:rFonts w:hint="default" w:ascii="Times New Roman" w:hAnsi="Times New Roman" w:eastAsia="宋体" w:cs="Times New Roman"/>
          <w:spacing w:val="0"/>
          <w:w w:val="100"/>
          <w:sz w:val="32"/>
          <w:szCs w:val="32"/>
          <w:lang w:val="en-US" w:eastAsia="zh-CN"/>
        </w:rPr>
        <w:t>2 概述</w:t>
      </w:r>
      <w:bookmarkEnd w:id="1"/>
    </w:p>
    <w:p>
      <w:pPr>
        <w:pStyle w:val="3"/>
        <w:keepNext w:val="0"/>
        <w:keepLines w:val="0"/>
        <w:pageBreakBefore w:val="0"/>
        <w:widowControl w:val="0"/>
        <w:numPr>
          <w:ilvl w:val="0"/>
          <w:numId w:val="0"/>
        </w:numPr>
        <w:tabs>
          <w:tab w:val="left" w:pos="2240"/>
        </w:tabs>
        <w:kinsoku/>
        <w:wordWrap/>
        <w:overflowPunct/>
        <w:topLinePunct w:val="0"/>
        <w:autoSpaceDE w:val="0"/>
        <w:autoSpaceDN w:val="0"/>
        <w:bidi w:val="0"/>
        <w:adjustRightInd/>
        <w:snapToGrid/>
        <w:spacing w:before="0" w:beforeLines="0" w:beforeAutospacing="0" w:after="0" w:afterLines="0" w:afterAutospacing="0" w:line="360" w:lineRule="auto"/>
        <w:ind w:right="0" w:rightChars="0"/>
        <w:jc w:val="left"/>
        <w:textAlignment w:val="auto"/>
        <w:outlineLvl w:val="1"/>
        <w:rPr>
          <w:rFonts w:hint="default" w:ascii="Times New Roman" w:hAnsi="Times New Roman" w:eastAsia="宋体" w:cs="Times New Roman"/>
          <w:b/>
          <w:bCs/>
          <w:spacing w:val="0"/>
          <w:w w:val="100"/>
          <w:sz w:val="28"/>
          <w:szCs w:val="28"/>
          <w:lang w:val="en-US" w:eastAsia="zh-CN"/>
        </w:rPr>
      </w:pPr>
      <w:bookmarkStart w:id="2" w:name="_bookmark4"/>
      <w:bookmarkEnd w:id="2"/>
      <w:bookmarkStart w:id="3" w:name="_bookmark5"/>
      <w:bookmarkEnd w:id="3"/>
      <w:bookmarkStart w:id="4" w:name="_Toc19001"/>
      <w:r>
        <w:rPr>
          <w:rFonts w:hint="default" w:ascii="Times New Roman" w:hAnsi="Times New Roman" w:eastAsia="宋体" w:cs="Times New Roman"/>
          <w:b/>
          <w:bCs/>
          <w:spacing w:val="0"/>
          <w:w w:val="100"/>
          <w:sz w:val="28"/>
          <w:szCs w:val="28"/>
          <w:lang w:val="en-US" w:eastAsia="zh-CN"/>
        </w:rPr>
        <w:t>2</w:t>
      </w:r>
      <w:r>
        <w:rPr>
          <w:rFonts w:hint="eastAsia" w:ascii="Times New Roman" w:hAnsi="Times New Roman" w:eastAsia="宋体" w:cs="Times New Roman"/>
          <w:b/>
          <w:bCs/>
          <w:spacing w:val="0"/>
          <w:w w:val="100"/>
          <w:sz w:val="28"/>
          <w:szCs w:val="28"/>
          <w:lang w:val="en-US" w:eastAsia="zh-CN"/>
        </w:rPr>
        <w:t>.</w:t>
      </w:r>
      <w:r>
        <w:rPr>
          <w:rFonts w:hint="default" w:ascii="Times New Roman" w:hAnsi="Times New Roman" w:eastAsia="宋体" w:cs="Times New Roman"/>
          <w:b/>
          <w:bCs/>
          <w:spacing w:val="0"/>
          <w:w w:val="100"/>
          <w:sz w:val="28"/>
          <w:szCs w:val="28"/>
          <w:lang w:val="en-US" w:eastAsia="zh-CN"/>
        </w:rPr>
        <w:t xml:space="preserve">1 </w:t>
      </w:r>
      <w:r>
        <w:rPr>
          <w:rFonts w:hint="default" w:ascii="Times New Roman" w:hAnsi="Times New Roman" w:eastAsia="宋体" w:cs="Times New Roman"/>
          <w:b/>
          <w:bCs/>
          <w:spacing w:val="0"/>
          <w:w w:val="100"/>
          <w:sz w:val="28"/>
          <w:szCs w:val="28"/>
        </w:rPr>
        <w:t>调查目的</w:t>
      </w:r>
      <w:r>
        <w:rPr>
          <w:rFonts w:hint="default" w:ascii="Times New Roman" w:hAnsi="Times New Roman" w:eastAsia="宋体" w:cs="Times New Roman"/>
          <w:b/>
          <w:bCs/>
          <w:spacing w:val="0"/>
          <w:w w:val="100"/>
          <w:sz w:val="28"/>
          <w:szCs w:val="28"/>
          <w:lang w:val="en-US" w:eastAsia="zh-CN"/>
        </w:rPr>
        <w:t>和原则</w:t>
      </w:r>
      <w:bookmarkEnd w:id="4"/>
    </w:p>
    <w:p>
      <w:pPr>
        <w:spacing w:line="360" w:lineRule="auto"/>
        <w:outlineLvl w:val="2"/>
        <w:rPr>
          <w:rFonts w:hint="default" w:ascii="Times New Roman" w:hAnsi="Times New Roman" w:eastAsia="宋体" w:cs="Times New Roman"/>
          <w:spacing w:val="0"/>
          <w:w w:val="100"/>
          <w:sz w:val="24"/>
          <w:szCs w:val="24"/>
          <w:lang w:val="en-US" w:eastAsia="zh-CN"/>
        </w:rPr>
      </w:pPr>
      <w:bookmarkStart w:id="5" w:name="_Toc29429"/>
      <w:r>
        <w:rPr>
          <w:rFonts w:hint="default" w:ascii="Times New Roman" w:hAnsi="Times New Roman" w:eastAsia="宋体" w:cs="Times New Roman"/>
          <w:b/>
          <w:bCs/>
          <w:spacing w:val="0"/>
          <w:w w:val="100"/>
          <w:sz w:val="24"/>
          <w:szCs w:val="24"/>
          <w:lang w:val="en-US" w:eastAsia="zh-CN"/>
        </w:rPr>
        <w:t>2</w:t>
      </w:r>
      <w:r>
        <w:rPr>
          <w:rFonts w:hint="eastAsia" w:ascii="Times New Roman" w:hAnsi="Times New Roman" w:eastAsia="宋体" w:cs="Times New Roman"/>
          <w:b/>
          <w:bCs/>
          <w:spacing w:val="0"/>
          <w:w w:val="100"/>
          <w:sz w:val="24"/>
          <w:szCs w:val="24"/>
          <w:lang w:val="en-US" w:eastAsia="zh-CN"/>
        </w:rPr>
        <w:t>.</w:t>
      </w:r>
      <w:r>
        <w:rPr>
          <w:rFonts w:hint="default" w:ascii="Times New Roman" w:hAnsi="Times New Roman" w:eastAsia="宋体" w:cs="Times New Roman"/>
          <w:b/>
          <w:bCs/>
          <w:spacing w:val="0"/>
          <w:w w:val="100"/>
          <w:sz w:val="24"/>
          <w:szCs w:val="24"/>
          <w:lang w:val="en-US" w:eastAsia="zh-CN"/>
        </w:rPr>
        <w:t>1</w:t>
      </w:r>
      <w:r>
        <w:rPr>
          <w:rFonts w:hint="eastAsia" w:ascii="Times New Roman" w:hAnsi="Times New Roman" w:eastAsia="宋体" w:cs="Times New Roman"/>
          <w:b/>
          <w:bCs/>
          <w:spacing w:val="0"/>
          <w:w w:val="100"/>
          <w:sz w:val="24"/>
          <w:szCs w:val="24"/>
          <w:lang w:val="en-US" w:eastAsia="zh-CN"/>
        </w:rPr>
        <w:t>.</w:t>
      </w:r>
      <w:r>
        <w:rPr>
          <w:rFonts w:hint="default" w:ascii="Times New Roman" w:hAnsi="Times New Roman" w:eastAsia="宋体" w:cs="Times New Roman"/>
          <w:b/>
          <w:bCs/>
          <w:spacing w:val="0"/>
          <w:w w:val="100"/>
          <w:sz w:val="24"/>
          <w:szCs w:val="24"/>
          <w:lang w:val="en-US" w:eastAsia="zh-CN"/>
        </w:rPr>
        <w:t>1 调查目的</w:t>
      </w:r>
      <w:bookmarkEnd w:id="5"/>
    </w:p>
    <w:p>
      <w:pPr>
        <w:keepNext w:val="0"/>
        <w:keepLines w:val="0"/>
        <w:pageBreakBefore w:val="0"/>
        <w:widowControl w:val="0"/>
        <w:numPr>
          <w:ilvl w:val="0"/>
          <w:numId w:val="0"/>
        </w:numPr>
        <w:tabs>
          <w:tab w:val="left" w:pos="2240"/>
        </w:tabs>
        <w:kinsoku/>
        <w:wordWrap/>
        <w:overflowPunct/>
        <w:topLinePunct w:val="0"/>
        <w:autoSpaceDE w:val="0"/>
        <w:autoSpaceDN w:val="0"/>
        <w:bidi w:val="0"/>
        <w:adjustRightInd/>
        <w:snapToGrid/>
        <w:spacing w:before="0" w:beforeLines="0" w:beforeAutospacing="0" w:after="0" w:afterLines="0" w:afterAutospacing="0" w:line="360" w:lineRule="auto"/>
        <w:ind w:right="0" w:rightChars="0" w:firstLine="480" w:firstLineChars="200"/>
        <w:jc w:val="both"/>
        <w:textAlignment w:val="auto"/>
        <w:outlineLvl w:val="9"/>
        <w:rPr>
          <w:rFonts w:hint="default" w:ascii="Times New Roman" w:hAnsi="Times New Roman" w:eastAsia="宋体" w:cs="Times New Roman"/>
          <w:b w:val="0"/>
          <w:bCs w:val="0"/>
          <w:color w:val="auto"/>
          <w:spacing w:val="0"/>
          <w:w w:val="100"/>
          <w:sz w:val="24"/>
          <w:szCs w:val="24"/>
          <w:lang w:val="en-US" w:eastAsia="zh-CN"/>
        </w:rPr>
      </w:pPr>
      <w:bookmarkStart w:id="6" w:name="_bookmark6"/>
      <w:bookmarkEnd w:id="6"/>
      <w:r>
        <w:rPr>
          <w:rFonts w:hint="default" w:ascii="Times New Roman" w:hAnsi="Times New Roman" w:eastAsia="宋体" w:cs="Times New Roman"/>
          <w:b w:val="0"/>
          <w:bCs w:val="0"/>
          <w:color w:val="auto"/>
          <w:spacing w:val="0"/>
          <w:w w:val="100"/>
          <w:sz w:val="24"/>
          <w:szCs w:val="24"/>
          <w:lang w:val="en-US" w:eastAsia="zh-CN"/>
        </w:rPr>
        <w:t>本次调查的目的是判断调查区域内的土壤及地下水是否受到污染，初步判断该地块是否属于污染地块，根据检测结果分析地块的污染类型及污染程度，为后续详细调查和修复治理工程的顺利开展提供参数，也为地块的环境管理提供技术支撑。如果初步调查表明项目地块受到污染，且超过相应标准则需要进一步开展详细调查。如果本次调查结果表明，该地块不属于污染地块，则调查工作结束。</w:t>
      </w:r>
    </w:p>
    <w:p>
      <w:pPr>
        <w:keepNext w:val="0"/>
        <w:keepLines w:val="0"/>
        <w:pageBreakBefore w:val="0"/>
        <w:widowControl w:val="0"/>
        <w:numPr>
          <w:ilvl w:val="0"/>
          <w:numId w:val="0"/>
        </w:numPr>
        <w:tabs>
          <w:tab w:val="left" w:pos="2240"/>
        </w:tabs>
        <w:kinsoku/>
        <w:wordWrap/>
        <w:overflowPunct/>
        <w:topLinePunct w:val="0"/>
        <w:autoSpaceDE w:val="0"/>
        <w:autoSpaceDN w:val="0"/>
        <w:bidi w:val="0"/>
        <w:adjustRightInd/>
        <w:snapToGrid/>
        <w:spacing w:before="0" w:beforeLines="0" w:beforeAutospacing="0" w:after="0" w:afterLines="0" w:afterAutospacing="0" w:line="360" w:lineRule="auto"/>
        <w:ind w:right="0" w:rightChars="0" w:firstLine="480" w:firstLineChars="200"/>
        <w:jc w:val="both"/>
        <w:textAlignment w:val="auto"/>
        <w:outlineLvl w:val="9"/>
        <w:rPr>
          <w:rFonts w:hint="default" w:ascii="Times New Roman" w:hAnsi="Times New Roman" w:eastAsia="宋体" w:cs="Times New Roman"/>
          <w:b w:val="0"/>
          <w:bCs w:val="0"/>
          <w:color w:val="auto"/>
          <w:spacing w:val="0"/>
          <w:w w:val="100"/>
          <w:sz w:val="24"/>
          <w:szCs w:val="24"/>
          <w:lang w:val="en-US" w:eastAsia="zh-CN"/>
        </w:rPr>
      </w:pPr>
      <w:r>
        <w:rPr>
          <w:rFonts w:hint="default" w:ascii="Times New Roman" w:hAnsi="Times New Roman" w:eastAsia="宋体" w:cs="Times New Roman"/>
          <w:b w:val="0"/>
          <w:bCs w:val="0"/>
          <w:color w:val="auto"/>
          <w:spacing w:val="0"/>
          <w:w w:val="100"/>
          <w:sz w:val="24"/>
          <w:szCs w:val="24"/>
          <w:lang w:val="en-US" w:eastAsia="zh-CN"/>
        </w:rPr>
        <w:t>为准确了解和详细把握</w:t>
      </w:r>
      <w:r>
        <w:rPr>
          <w:rFonts w:hint="eastAsia" w:ascii="Times New Roman" w:hAnsi="Times New Roman" w:eastAsia="宋体" w:cs="Times New Roman"/>
          <w:color w:val="auto"/>
          <w:spacing w:val="0"/>
          <w:w w:val="100"/>
          <w:sz w:val="24"/>
          <w:szCs w:val="24"/>
          <w:lang w:eastAsia="zh-CN"/>
        </w:rPr>
        <w:t>世纪诚园（一期）地块</w:t>
      </w:r>
      <w:r>
        <w:rPr>
          <w:rFonts w:hint="default" w:ascii="Times New Roman" w:hAnsi="Times New Roman" w:eastAsia="宋体" w:cs="Times New Roman"/>
          <w:b w:val="0"/>
          <w:bCs w:val="0"/>
          <w:color w:val="auto"/>
          <w:spacing w:val="0"/>
          <w:w w:val="100"/>
          <w:sz w:val="24"/>
          <w:szCs w:val="24"/>
          <w:lang w:val="en-US" w:eastAsia="zh-CN"/>
        </w:rPr>
        <w:t>土壤污染状况，保障环境安全以及人群身体健康，接受委托后，我单位组织开展了地块土壤污染状况调查工作。包括资料收集、现场踏勘、人员访谈、信息整理与分析、采样方案制定、现场采样、样品检测及检测结果分析与评估、调查报告编制等。</w:t>
      </w:r>
    </w:p>
    <w:p>
      <w:pPr>
        <w:keepNext w:val="0"/>
        <w:keepLines w:val="0"/>
        <w:pageBreakBefore w:val="0"/>
        <w:widowControl w:val="0"/>
        <w:numPr>
          <w:ilvl w:val="0"/>
          <w:numId w:val="0"/>
        </w:numPr>
        <w:tabs>
          <w:tab w:val="left" w:pos="2240"/>
        </w:tabs>
        <w:kinsoku/>
        <w:wordWrap/>
        <w:overflowPunct/>
        <w:topLinePunct w:val="0"/>
        <w:autoSpaceDE w:val="0"/>
        <w:autoSpaceDN w:val="0"/>
        <w:bidi w:val="0"/>
        <w:adjustRightInd/>
        <w:snapToGrid/>
        <w:spacing w:before="0" w:beforeLines="0" w:beforeAutospacing="0" w:after="0" w:afterLines="0" w:afterAutospacing="0" w:line="360" w:lineRule="auto"/>
        <w:ind w:right="0" w:rightChars="0" w:firstLine="480" w:firstLineChars="200"/>
        <w:jc w:val="both"/>
        <w:textAlignment w:val="auto"/>
        <w:outlineLvl w:val="9"/>
        <w:rPr>
          <w:rFonts w:hint="default" w:ascii="Times New Roman" w:hAnsi="Times New Roman" w:eastAsia="宋体" w:cs="Times New Roman"/>
          <w:b w:val="0"/>
          <w:bCs w:val="0"/>
          <w:color w:val="auto"/>
          <w:spacing w:val="0"/>
          <w:w w:val="100"/>
          <w:sz w:val="24"/>
          <w:szCs w:val="24"/>
          <w:lang w:val="en-US" w:eastAsia="zh-CN"/>
        </w:rPr>
      </w:pPr>
      <w:r>
        <w:rPr>
          <w:rFonts w:hint="default" w:ascii="Times New Roman" w:hAnsi="Times New Roman" w:eastAsia="宋体" w:cs="Times New Roman"/>
          <w:b w:val="0"/>
          <w:bCs w:val="0"/>
          <w:color w:val="auto"/>
          <w:spacing w:val="0"/>
          <w:w w:val="100"/>
          <w:sz w:val="24"/>
          <w:szCs w:val="24"/>
          <w:lang w:val="en-US" w:eastAsia="zh-CN"/>
        </w:rPr>
        <w:t>1、通过资料分析，识别地块内可能存在的残留污染物及污染因子，初步判断地块存在污染的可能性；</w:t>
      </w:r>
    </w:p>
    <w:p>
      <w:pPr>
        <w:keepNext w:val="0"/>
        <w:keepLines w:val="0"/>
        <w:pageBreakBefore w:val="0"/>
        <w:widowControl w:val="0"/>
        <w:numPr>
          <w:ilvl w:val="0"/>
          <w:numId w:val="0"/>
        </w:numPr>
        <w:tabs>
          <w:tab w:val="left" w:pos="2240"/>
        </w:tabs>
        <w:kinsoku/>
        <w:wordWrap/>
        <w:overflowPunct/>
        <w:topLinePunct w:val="0"/>
        <w:autoSpaceDE w:val="0"/>
        <w:autoSpaceDN w:val="0"/>
        <w:bidi w:val="0"/>
        <w:adjustRightInd/>
        <w:snapToGrid/>
        <w:spacing w:before="0" w:beforeLines="0" w:beforeAutospacing="0" w:after="0" w:afterLines="0" w:afterAutospacing="0" w:line="360" w:lineRule="auto"/>
        <w:ind w:right="0" w:rightChars="0" w:firstLine="480" w:firstLineChars="200"/>
        <w:jc w:val="both"/>
        <w:textAlignment w:val="auto"/>
        <w:outlineLvl w:val="9"/>
        <w:rPr>
          <w:rFonts w:hint="default" w:ascii="Times New Roman" w:hAnsi="Times New Roman" w:eastAsia="宋体" w:cs="Times New Roman"/>
          <w:b w:val="0"/>
          <w:bCs w:val="0"/>
          <w:color w:val="auto"/>
          <w:spacing w:val="0"/>
          <w:w w:val="100"/>
          <w:sz w:val="24"/>
          <w:szCs w:val="24"/>
          <w:lang w:val="en-US" w:eastAsia="zh-CN"/>
        </w:rPr>
      </w:pPr>
      <w:r>
        <w:rPr>
          <w:rFonts w:hint="default" w:ascii="Times New Roman" w:hAnsi="Times New Roman" w:eastAsia="宋体" w:cs="Times New Roman"/>
          <w:b w:val="0"/>
          <w:bCs w:val="0"/>
          <w:color w:val="auto"/>
          <w:spacing w:val="0"/>
          <w:w w:val="100"/>
          <w:sz w:val="24"/>
          <w:szCs w:val="24"/>
          <w:lang w:val="en-US" w:eastAsia="zh-CN"/>
        </w:rPr>
        <w:t>2、通过现场布点采样和实验室分析，确定地块是否污染及污染的程度、主要污染物种类、污染物浓度，判断地块土壤、地下水的污染状况，为地块管理与开发提供建议。</w:t>
      </w:r>
    </w:p>
    <w:p>
      <w:pPr>
        <w:pStyle w:val="4"/>
        <w:keepNext w:val="0"/>
        <w:keepLines w:val="0"/>
        <w:pageBreakBefore w:val="0"/>
        <w:widowControl w:val="0"/>
        <w:numPr>
          <w:ilvl w:val="0"/>
          <w:numId w:val="0"/>
        </w:numPr>
        <w:tabs>
          <w:tab w:val="left" w:pos="2240"/>
        </w:tabs>
        <w:kinsoku/>
        <w:wordWrap/>
        <w:overflowPunct/>
        <w:topLinePunct w:val="0"/>
        <w:autoSpaceDE w:val="0"/>
        <w:autoSpaceDN w:val="0"/>
        <w:bidi w:val="0"/>
        <w:adjustRightInd/>
        <w:snapToGrid/>
        <w:spacing w:before="0" w:beforeLines="0" w:beforeAutospacing="0" w:after="0" w:afterLines="0" w:afterAutospacing="0" w:line="360" w:lineRule="auto"/>
        <w:ind w:right="0" w:rightChars="0"/>
        <w:jc w:val="left"/>
        <w:textAlignment w:val="auto"/>
        <w:outlineLvl w:val="2"/>
        <w:rPr>
          <w:rFonts w:hint="default" w:ascii="Times New Roman" w:hAnsi="Times New Roman" w:eastAsia="宋体" w:cs="Times New Roman"/>
          <w:spacing w:val="0"/>
          <w:w w:val="100"/>
          <w:sz w:val="24"/>
          <w:szCs w:val="24"/>
        </w:rPr>
      </w:pPr>
      <w:bookmarkStart w:id="7" w:name="_Toc12682"/>
      <w:r>
        <w:rPr>
          <w:rFonts w:hint="default" w:ascii="Times New Roman" w:hAnsi="Times New Roman" w:eastAsia="宋体" w:cs="Times New Roman"/>
          <w:b/>
          <w:bCs/>
          <w:spacing w:val="0"/>
          <w:w w:val="100"/>
          <w:sz w:val="24"/>
          <w:szCs w:val="24"/>
          <w:lang w:val="en-US" w:eastAsia="zh-CN"/>
        </w:rPr>
        <w:t>2</w:t>
      </w:r>
      <w:r>
        <w:rPr>
          <w:rFonts w:hint="eastAsia" w:ascii="Times New Roman" w:hAnsi="Times New Roman" w:cs="Times New Roman"/>
          <w:b/>
          <w:bCs/>
          <w:spacing w:val="0"/>
          <w:w w:val="100"/>
          <w:sz w:val="24"/>
          <w:szCs w:val="24"/>
          <w:lang w:val="en-US" w:eastAsia="zh-CN"/>
        </w:rPr>
        <w:t>.</w:t>
      </w:r>
      <w:r>
        <w:rPr>
          <w:rFonts w:hint="default" w:ascii="Times New Roman" w:hAnsi="Times New Roman" w:eastAsia="宋体" w:cs="Times New Roman"/>
          <w:b/>
          <w:bCs/>
          <w:spacing w:val="0"/>
          <w:w w:val="100"/>
          <w:sz w:val="24"/>
          <w:szCs w:val="24"/>
          <w:lang w:val="en-US" w:eastAsia="zh-CN"/>
        </w:rPr>
        <w:t>1</w:t>
      </w:r>
      <w:r>
        <w:rPr>
          <w:rFonts w:hint="eastAsia" w:ascii="Times New Roman" w:hAnsi="Times New Roman" w:cs="Times New Roman"/>
          <w:b/>
          <w:bCs/>
          <w:spacing w:val="0"/>
          <w:w w:val="100"/>
          <w:sz w:val="24"/>
          <w:szCs w:val="24"/>
          <w:lang w:val="en-US" w:eastAsia="zh-CN"/>
        </w:rPr>
        <w:t>.</w:t>
      </w:r>
      <w:r>
        <w:rPr>
          <w:rFonts w:hint="default" w:ascii="Times New Roman" w:hAnsi="Times New Roman" w:eastAsia="宋体" w:cs="Times New Roman"/>
          <w:b/>
          <w:bCs/>
          <w:spacing w:val="0"/>
          <w:w w:val="100"/>
          <w:sz w:val="24"/>
          <w:szCs w:val="24"/>
          <w:lang w:val="en-US" w:eastAsia="zh-CN"/>
        </w:rPr>
        <w:t xml:space="preserve">2 </w:t>
      </w:r>
      <w:r>
        <w:rPr>
          <w:rFonts w:hint="default" w:ascii="Times New Roman" w:hAnsi="Times New Roman" w:eastAsia="宋体" w:cs="Times New Roman"/>
          <w:b/>
          <w:bCs/>
          <w:spacing w:val="0"/>
          <w:w w:val="100"/>
          <w:sz w:val="24"/>
          <w:szCs w:val="24"/>
        </w:rPr>
        <w:t>调查原则</w:t>
      </w:r>
      <w:bookmarkEnd w:id="7"/>
    </w:p>
    <w:p>
      <w:pPr>
        <w:pStyle w:val="5"/>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right="0" w:firstLine="480" w:firstLineChars="200"/>
        <w:jc w:val="left"/>
        <w:textAlignment w:val="auto"/>
        <w:rPr>
          <w:rFonts w:hint="default" w:ascii="Times New Roman" w:hAnsi="Times New Roman" w:eastAsia="宋体" w:cs="Times New Roman"/>
          <w:spacing w:val="0"/>
          <w:w w:val="100"/>
        </w:rPr>
      </w:pPr>
      <w:r>
        <w:rPr>
          <w:rFonts w:hint="default" w:ascii="Times New Roman" w:hAnsi="Times New Roman" w:eastAsia="宋体" w:cs="Times New Roman"/>
          <w:spacing w:val="0"/>
          <w:w w:val="100"/>
        </w:rPr>
        <w:t>采用程序化和系统化的方法规范土壤污染状况调查过程，保证调查过程的科学性和客观性。</w:t>
      </w:r>
    </w:p>
    <w:p>
      <w:pPr>
        <w:pStyle w:val="5"/>
        <w:keepNext w:val="0"/>
        <w:keepLines w:val="0"/>
        <w:pageBreakBefore w:val="0"/>
        <w:widowControl w:val="0"/>
        <w:numPr>
          <w:ilvl w:val="0"/>
          <w:numId w:val="2"/>
        </w:numPr>
        <w:kinsoku/>
        <w:wordWrap/>
        <w:overflowPunct/>
        <w:topLinePunct w:val="0"/>
        <w:autoSpaceDE w:val="0"/>
        <w:autoSpaceDN w:val="0"/>
        <w:bidi w:val="0"/>
        <w:adjustRightInd/>
        <w:snapToGrid/>
        <w:spacing w:beforeAutospacing="0" w:afterAutospacing="0" w:line="360" w:lineRule="auto"/>
        <w:ind w:left="0" w:right="0" w:firstLine="480" w:firstLineChars="200"/>
        <w:jc w:val="left"/>
        <w:textAlignment w:val="auto"/>
        <w:rPr>
          <w:rFonts w:hint="default" w:ascii="Times New Roman" w:hAnsi="Times New Roman" w:eastAsia="宋体" w:cs="Times New Roman"/>
          <w:spacing w:val="0"/>
          <w:w w:val="100"/>
        </w:rPr>
      </w:pPr>
      <w:r>
        <w:rPr>
          <w:rFonts w:hint="default" w:ascii="Times New Roman" w:hAnsi="Times New Roman" w:eastAsia="宋体" w:cs="Times New Roman"/>
          <w:spacing w:val="0"/>
          <w:w w:val="100"/>
        </w:rPr>
        <w:t>针对性原则</w:t>
      </w:r>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beforeAutospacing="0" w:afterAutospacing="0" w:line="360" w:lineRule="auto"/>
        <w:ind w:leftChars="0" w:right="0" w:rightChars="0" w:firstLine="480" w:firstLineChars="200"/>
        <w:jc w:val="left"/>
        <w:textAlignment w:val="auto"/>
        <w:rPr>
          <w:rFonts w:hint="default" w:ascii="Times New Roman" w:hAnsi="Times New Roman" w:eastAsia="宋体" w:cs="Times New Roman"/>
          <w:spacing w:val="0"/>
          <w:w w:val="100"/>
        </w:rPr>
      </w:pPr>
      <w:r>
        <w:rPr>
          <w:rFonts w:hint="default" w:ascii="Times New Roman" w:hAnsi="Times New Roman" w:eastAsia="宋体" w:cs="Times New Roman"/>
          <w:spacing w:val="0"/>
          <w:w w:val="100"/>
        </w:rPr>
        <w:t>针对地块关注污染物特性，开展污染物浓度和空间分布调查，为地块的环境管理提供依据。根据该地块历史及现状使用情况，将检测点位尽量布设在可能受污染的区域，尽可能以有限的点位数量确认地块是否存在污染以及污染识别结果，有针对性的确定土壤及地下水样品的分析检测项目。</w:t>
      </w:r>
    </w:p>
    <w:p>
      <w:pPr>
        <w:pStyle w:val="5"/>
        <w:keepNext w:val="0"/>
        <w:keepLines w:val="0"/>
        <w:pageBreakBefore w:val="0"/>
        <w:widowControl w:val="0"/>
        <w:numPr>
          <w:ilvl w:val="0"/>
          <w:numId w:val="2"/>
        </w:numPr>
        <w:kinsoku/>
        <w:wordWrap/>
        <w:overflowPunct/>
        <w:topLinePunct w:val="0"/>
        <w:autoSpaceDE w:val="0"/>
        <w:autoSpaceDN w:val="0"/>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spacing w:val="0"/>
          <w:w w:val="100"/>
        </w:rPr>
      </w:pPr>
      <w:r>
        <w:rPr>
          <w:rFonts w:hint="default" w:ascii="Times New Roman" w:hAnsi="Times New Roman" w:eastAsia="宋体" w:cs="Times New Roman"/>
          <w:spacing w:val="0"/>
          <w:w w:val="100"/>
        </w:rPr>
        <w:t>规范性原则</w:t>
      </w:r>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beforeAutospacing="0" w:afterAutospacing="0" w:line="360" w:lineRule="auto"/>
        <w:ind w:leftChars="0" w:right="0" w:rightChars="0" w:firstLine="480" w:firstLineChars="200"/>
        <w:jc w:val="left"/>
        <w:textAlignment w:val="auto"/>
        <w:rPr>
          <w:rFonts w:hint="default" w:ascii="Times New Roman" w:hAnsi="Times New Roman" w:eastAsia="宋体" w:cs="Times New Roman"/>
          <w:spacing w:val="0"/>
          <w:w w:val="100"/>
        </w:rPr>
      </w:pPr>
      <w:r>
        <w:rPr>
          <w:rFonts w:hint="default" w:ascii="Times New Roman" w:hAnsi="Times New Roman" w:eastAsia="宋体" w:cs="Times New Roman"/>
          <w:spacing w:val="0"/>
          <w:w w:val="100"/>
        </w:rPr>
        <w:t>采用程序化和系统化的方式规范地块环境调查过程，保证调查过程的科学性和客观性。采用程序化和系统化的方式规范地块土壤污染状况调查过程，保证调查过程的科学性和客观性。</w:t>
      </w:r>
    </w:p>
    <w:p>
      <w:pPr>
        <w:pStyle w:val="5"/>
        <w:keepNext w:val="0"/>
        <w:keepLines w:val="0"/>
        <w:pageBreakBefore w:val="0"/>
        <w:widowControl w:val="0"/>
        <w:numPr>
          <w:ilvl w:val="0"/>
          <w:numId w:val="2"/>
        </w:numPr>
        <w:kinsoku/>
        <w:wordWrap/>
        <w:overflowPunct/>
        <w:topLinePunct w:val="0"/>
        <w:autoSpaceDE w:val="0"/>
        <w:autoSpaceDN w:val="0"/>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spacing w:val="0"/>
          <w:w w:val="100"/>
        </w:rPr>
      </w:pPr>
      <w:r>
        <w:rPr>
          <w:rFonts w:hint="default" w:ascii="Times New Roman" w:hAnsi="Times New Roman" w:eastAsia="宋体" w:cs="Times New Roman"/>
          <w:spacing w:val="0"/>
          <w:w w:val="100"/>
        </w:rPr>
        <w:t>可操作性原则</w:t>
      </w:r>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beforeAutospacing="0" w:afterAutospacing="0" w:line="360" w:lineRule="auto"/>
        <w:ind w:leftChars="0" w:right="0" w:rightChars="0" w:firstLine="480" w:firstLineChars="200"/>
        <w:jc w:val="left"/>
        <w:textAlignment w:val="auto"/>
        <w:rPr>
          <w:rFonts w:hint="default" w:ascii="Times New Roman" w:hAnsi="Times New Roman" w:eastAsia="宋体" w:cs="Times New Roman"/>
          <w:spacing w:val="0"/>
          <w:w w:val="100"/>
        </w:rPr>
      </w:pPr>
      <w:r>
        <w:rPr>
          <w:rFonts w:hint="default" w:ascii="Times New Roman" w:hAnsi="Times New Roman" w:eastAsia="宋体" w:cs="Times New Roman"/>
          <w:spacing w:val="0"/>
          <w:w w:val="100"/>
        </w:rPr>
        <w:t>在不造成安全隐患和二次污染的情况下，制定切实可行的调查方案和工作计划，确保调查项目顺利完成，同时也确保项目的调查方案符合相关规范要求。</w:t>
      </w:r>
    </w:p>
    <w:p>
      <w:pPr>
        <w:pStyle w:val="3"/>
        <w:keepNext w:val="0"/>
        <w:keepLines w:val="0"/>
        <w:pageBreakBefore w:val="0"/>
        <w:widowControl w:val="0"/>
        <w:numPr>
          <w:ilvl w:val="0"/>
          <w:numId w:val="0"/>
        </w:numPr>
        <w:tabs>
          <w:tab w:val="left" w:pos="2240"/>
        </w:tabs>
        <w:kinsoku/>
        <w:wordWrap/>
        <w:overflowPunct/>
        <w:topLinePunct w:val="0"/>
        <w:autoSpaceDE w:val="0"/>
        <w:autoSpaceDN w:val="0"/>
        <w:bidi w:val="0"/>
        <w:adjustRightInd/>
        <w:snapToGrid/>
        <w:spacing w:before="0" w:beforeLines="0" w:beforeAutospacing="0" w:after="0" w:afterLines="0" w:afterAutospacing="0" w:line="360" w:lineRule="auto"/>
        <w:ind w:right="0" w:rightChars="0"/>
        <w:jc w:val="left"/>
        <w:textAlignment w:val="auto"/>
        <w:outlineLvl w:val="1"/>
        <w:rPr>
          <w:rFonts w:hint="default" w:ascii="Times New Roman" w:hAnsi="Times New Roman" w:eastAsia="宋体" w:cs="Times New Roman"/>
          <w:b/>
          <w:bCs/>
          <w:spacing w:val="0"/>
          <w:w w:val="100"/>
          <w:sz w:val="28"/>
          <w:szCs w:val="28"/>
        </w:rPr>
      </w:pPr>
      <w:bookmarkStart w:id="8" w:name="_bookmark7"/>
      <w:bookmarkEnd w:id="8"/>
      <w:bookmarkStart w:id="9" w:name="_Toc13472"/>
      <w:r>
        <w:rPr>
          <w:rFonts w:hint="default" w:ascii="Times New Roman" w:hAnsi="Times New Roman" w:eastAsia="宋体" w:cs="Times New Roman"/>
          <w:b/>
          <w:bCs/>
          <w:spacing w:val="0"/>
          <w:w w:val="100"/>
          <w:sz w:val="28"/>
          <w:szCs w:val="28"/>
          <w:lang w:val="en-US" w:eastAsia="zh-CN"/>
        </w:rPr>
        <w:t>2</w:t>
      </w:r>
      <w:r>
        <w:rPr>
          <w:rFonts w:hint="eastAsia" w:ascii="Times New Roman" w:hAnsi="Times New Roman" w:eastAsia="宋体" w:cs="Times New Roman"/>
          <w:b/>
          <w:bCs/>
          <w:spacing w:val="0"/>
          <w:w w:val="100"/>
          <w:sz w:val="28"/>
          <w:szCs w:val="28"/>
          <w:lang w:val="en-US" w:eastAsia="zh-CN"/>
        </w:rPr>
        <w:t>.</w:t>
      </w:r>
      <w:r>
        <w:rPr>
          <w:rFonts w:hint="default" w:ascii="Times New Roman" w:hAnsi="Times New Roman" w:eastAsia="宋体" w:cs="Times New Roman"/>
          <w:b/>
          <w:bCs/>
          <w:spacing w:val="0"/>
          <w:w w:val="100"/>
          <w:sz w:val="28"/>
          <w:szCs w:val="28"/>
          <w:lang w:val="en-US" w:eastAsia="zh-CN"/>
        </w:rPr>
        <w:t xml:space="preserve">2 </w:t>
      </w:r>
      <w:r>
        <w:rPr>
          <w:rFonts w:hint="default" w:ascii="Times New Roman" w:hAnsi="Times New Roman" w:eastAsia="宋体" w:cs="Times New Roman"/>
          <w:b/>
          <w:bCs/>
          <w:spacing w:val="0"/>
          <w:w w:val="100"/>
          <w:sz w:val="28"/>
          <w:szCs w:val="28"/>
        </w:rPr>
        <w:t>调查范围</w:t>
      </w:r>
      <w:bookmarkEnd w:id="9"/>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outlineLvl w:val="9"/>
        <w:rPr>
          <w:rFonts w:hint="default" w:ascii="Times New Roman" w:hAnsi="Times New Roman" w:eastAsia="宋体" w:cs="Times New Roman"/>
          <w:spacing w:val="0"/>
          <w:w w:val="100"/>
          <w:sz w:val="24"/>
          <w:szCs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Times New Roman" w:hAnsi="Times New Roman" w:cs="Times New Roman"/>
          <w:spacing w:val="0"/>
          <w:w w:val="100"/>
          <w:sz w:val="24"/>
          <w:szCs w:val="24"/>
          <w:lang w:val="en-US" w:eastAsia="zh-CN"/>
        </w:rPr>
        <w:t>世纪诚园（一期）地块</w:t>
      </w:r>
      <w:r>
        <w:rPr>
          <w:rFonts w:hint="default" w:ascii="Times New Roman" w:hAnsi="Times New Roman" w:eastAsia="宋体" w:cs="Times New Roman"/>
          <w:spacing w:val="0"/>
          <w:w w:val="100"/>
          <w:sz w:val="24"/>
          <w:szCs w:val="24"/>
          <w:lang w:val="en-US" w:eastAsia="zh-CN"/>
        </w:rPr>
        <w:t>位于</w:t>
      </w:r>
      <w:r>
        <w:rPr>
          <w:rFonts w:hint="default" w:ascii="Times New Roman" w:hAnsi="Times New Roman" w:eastAsia="宋体" w:cs="Times New Roman"/>
          <w:color w:val="auto"/>
          <w:spacing w:val="0"/>
          <w:sz w:val="24"/>
          <w:szCs w:val="24"/>
          <w:lang w:val="en-US" w:eastAsia="zh-CN"/>
        </w:rPr>
        <w:t>临沂市</w:t>
      </w:r>
      <w:r>
        <w:rPr>
          <w:rFonts w:hint="default" w:ascii="Times New Roman" w:hAnsi="Times New Roman" w:cs="Times New Roman"/>
          <w:color w:val="auto"/>
          <w:spacing w:val="0"/>
          <w:sz w:val="24"/>
          <w:szCs w:val="24"/>
          <w:lang w:val="en-US" w:eastAsia="zh-CN"/>
        </w:rPr>
        <w:t>临沭县沭新西街与光明北路交汇处西南</w:t>
      </w:r>
      <w:r>
        <w:rPr>
          <w:rFonts w:hint="default" w:ascii="Times New Roman" w:hAnsi="Times New Roman" w:eastAsia="宋体" w:cs="Times New Roman"/>
          <w:color w:val="auto"/>
          <w:spacing w:val="0"/>
          <w:w w:val="100"/>
          <w:sz w:val="24"/>
          <w:szCs w:val="24"/>
          <w:lang w:val="en-US" w:eastAsia="zh-CN"/>
        </w:rPr>
        <w:t>，</w:t>
      </w:r>
      <w:r>
        <w:rPr>
          <w:rFonts w:hint="default" w:ascii="Times New Roman" w:hAnsi="Times New Roman" w:cs="Times New Roman"/>
          <w:color w:val="auto"/>
          <w:spacing w:val="0"/>
          <w:w w:val="100"/>
          <w:sz w:val="24"/>
          <w:szCs w:val="24"/>
          <w:lang w:val="en-US" w:eastAsia="zh-CN"/>
        </w:rPr>
        <w:t>地块</w:t>
      </w:r>
      <w:r>
        <w:rPr>
          <w:rFonts w:hint="default" w:ascii="Times New Roman" w:hAnsi="Times New Roman" w:eastAsia="宋体" w:cs="Times New Roman"/>
          <w:color w:val="auto"/>
          <w:spacing w:val="0"/>
          <w:w w:val="100"/>
          <w:sz w:val="24"/>
          <w:szCs w:val="24"/>
          <w:lang w:val="en-US" w:eastAsia="zh-CN"/>
        </w:rPr>
        <w:t>东至</w:t>
      </w:r>
      <w:r>
        <w:rPr>
          <w:rFonts w:hint="default" w:ascii="Times New Roman" w:hAnsi="Times New Roman" w:cs="Times New Roman"/>
          <w:color w:val="auto"/>
          <w:spacing w:val="0"/>
          <w:w w:val="100"/>
          <w:sz w:val="24"/>
          <w:szCs w:val="24"/>
          <w:lang w:val="en-US" w:eastAsia="zh-CN"/>
        </w:rPr>
        <w:t>光明北路</w:t>
      </w:r>
      <w:r>
        <w:rPr>
          <w:rFonts w:hint="default" w:ascii="Times New Roman" w:hAnsi="Times New Roman" w:eastAsia="宋体" w:cs="Times New Roman"/>
          <w:color w:val="auto"/>
          <w:spacing w:val="0"/>
          <w:sz w:val="24"/>
          <w:szCs w:val="24"/>
          <w:lang w:val="en-US" w:eastAsia="zh-CN"/>
        </w:rPr>
        <w:t>，北至</w:t>
      </w:r>
      <w:r>
        <w:rPr>
          <w:rFonts w:hint="default" w:ascii="Times New Roman" w:hAnsi="Times New Roman" w:cs="Times New Roman"/>
          <w:color w:val="auto"/>
          <w:spacing w:val="0"/>
          <w:sz w:val="24"/>
          <w:szCs w:val="24"/>
          <w:lang w:val="en-US" w:eastAsia="zh-CN"/>
        </w:rPr>
        <w:t>临沭街道苍河社区居委会土地</w:t>
      </w:r>
      <w:r>
        <w:rPr>
          <w:rFonts w:hint="default" w:ascii="Times New Roman" w:hAnsi="Times New Roman" w:eastAsia="宋体" w:cs="Times New Roman"/>
          <w:color w:val="auto"/>
          <w:spacing w:val="0"/>
          <w:sz w:val="24"/>
          <w:szCs w:val="24"/>
          <w:lang w:val="en-US" w:eastAsia="zh-CN"/>
        </w:rPr>
        <w:t>，</w:t>
      </w:r>
      <w:r>
        <w:rPr>
          <w:rFonts w:hint="default" w:ascii="Times New Roman" w:hAnsi="Times New Roman" w:eastAsia="宋体" w:cs="Times New Roman"/>
          <w:color w:val="auto"/>
          <w:spacing w:val="0"/>
          <w:w w:val="100"/>
          <w:sz w:val="24"/>
          <w:szCs w:val="24"/>
          <w:lang w:val="en-US" w:eastAsia="zh-CN"/>
        </w:rPr>
        <w:t>西至</w:t>
      </w:r>
      <w:r>
        <w:rPr>
          <w:rFonts w:hint="eastAsia" w:ascii="Times New Roman" w:hAnsi="Times New Roman" w:cs="Times New Roman"/>
          <w:color w:val="auto"/>
          <w:spacing w:val="0"/>
          <w:w w:val="100"/>
          <w:sz w:val="24"/>
          <w:szCs w:val="24"/>
          <w:lang w:val="en-US" w:eastAsia="zh-CN"/>
        </w:rPr>
        <w:t>临沭县供热服务有限公司</w:t>
      </w:r>
      <w:r>
        <w:rPr>
          <w:rFonts w:hint="default" w:ascii="Times New Roman" w:hAnsi="Times New Roman" w:eastAsia="宋体" w:cs="Times New Roman"/>
          <w:color w:val="auto"/>
          <w:spacing w:val="0"/>
          <w:w w:val="100"/>
          <w:sz w:val="24"/>
          <w:szCs w:val="24"/>
          <w:lang w:val="en-US" w:eastAsia="zh-CN"/>
        </w:rPr>
        <w:t>，南至</w:t>
      </w:r>
      <w:r>
        <w:rPr>
          <w:rFonts w:hint="default" w:ascii="Times New Roman" w:hAnsi="Times New Roman" w:cs="Times New Roman"/>
          <w:color w:val="auto"/>
          <w:spacing w:val="0"/>
          <w:w w:val="100"/>
          <w:sz w:val="24"/>
          <w:szCs w:val="24"/>
          <w:lang w:val="en-US" w:eastAsia="zh-CN"/>
        </w:rPr>
        <w:t>顺河西路</w:t>
      </w:r>
      <w:r>
        <w:rPr>
          <w:rFonts w:hint="default" w:ascii="Times New Roman" w:hAnsi="Times New Roman" w:eastAsia="宋体" w:cs="Times New Roman"/>
          <w:color w:val="auto"/>
          <w:spacing w:val="0"/>
          <w:w w:val="100"/>
          <w:sz w:val="24"/>
          <w:szCs w:val="24"/>
          <w:lang w:val="en-US" w:eastAsia="zh-CN"/>
        </w:rPr>
        <w:t>，</w:t>
      </w:r>
      <w:r>
        <w:rPr>
          <w:rFonts w:hint="default" w:ascii="Times New Roman" w:hAnsi="Times New Roman" w:eastAsia="宋体" w:cs="Times New Roman"/>
          <w:spacing w:val="0"/>
          <w:w w:val="100"/>
          <w:sz w:val="24"/>
          <w:szCs w:val="24"/>
          <w:lang w:val="en-US" w:eastAsia="zh-CN"/>
        </w:rPr>
        <w:t>总面积</w:t>
      </w:r>
      <w:r>
        <w:rPr>
          <w:rFonts w:hint="eastAsia" w:ascii="Times New Roman" w:hAnsi="Times New Roman" w:eastAsia="宋体" w:cs="Times New Roman"/>
          <w:spacing w:val="0"/>
          <w:w w:val="100"/>
          <w:sz w:val="24"/>
          <w:szCs w:val="24"/>
          <w:lang w:val="en-US" w:eastAsia="zh-CN"/>
        </w:rPr>
        <w:t>41251</w:t>
      </w:r>
      <w:r>
        <w:rPr>
          <w:rFonts w:hint="eastAsia" w:asciiTheme="minorEastAsia" w:hAnsiTheme="minorEastAsia" w:eastAsiaTheme="minorEastAsia" w:cstheme="minorEastAsia"/>
          <w:lang w:val="en-US" w:eastAsia="zh-CN"/>
        </w:rPr>
        <w:t>m</w:t>
      </w:r>
      <w:r>
        <w:rPr>
          <w:rFonts w:hint="eastAsia" w:asciiTheme="minorEastAsia" w:hAnsiTheme="minorEastAsia" w:eastAsiaTheme="minorEastAsia" w:cstheme="minorEastAsia"/>
          <w:vertAlign w:val="superscript"/>
          <w:lang w:val="en-US" w:eastAsia="zh-CN"/>
        </w:rPr>
        <w:t>2</w:t>
      </w:r>
      <w:r>
        <w:rPr>
          <w:rFonts w:hint="eastAsia" w:asciiTheme="minorEastAsia" w:hAnsiTheme="minorEastAsia" w:eastAsiaTheme="minorEastAsia" w:cstheme="minorEastAsia"/>
          <w:lang w:val="en-US" w:eastAsia="zh-CN"/>
        </w:rPr>
        <w:t>（约</w:t>
      </w:r>
      <w:r>
        <w:rPr>
          <w:rFonts w:hint="eastAsia" w:asciiTheme="minorEastAsia" w:hAnsiTheme="minorEastAsia" w:cstheme="minorEastAsia"/>
          <w:lang w:val="en-US" w:eastAsia="zh-CN"/>
        </w:rPr>
        <w:t>61.88</w:t>
      </w:r>
      <w:r>
        <w:rPr>
          <w:rFonts w:hint="eastAsia" w:asciiTheme="minorEastAsia" w:hAnsiTheme="minorEastAsia" w:eastAsiaTheme="minorEastAsia" w:cstheme="minorEastAsia"/>
          <w:lang w:val="en-US" w:eastAsia="zh-CN"/>
        </w:rPr>
        <w:t>亩）</w:t>
      </w:r>
      <w:r>
        <w:rPr>
          <w:rFonts w:hint="eastAsia" w:ascii="Times New Roman" w:hAnsi="Times New Roman" w:eastAsia="宋体" w:cstheme="minorEastAsia"/>
          <w:spacing w:val="0"/>
          <w:w w:val="100"/>
          <w:sz w:val="24"/>
          <w:szCs w:val="24"/>
          <w:lang w:val="en-US" w:eastAsia="zh-CN"/>
        </w:rPr>
        <w:t>。</w:t>
      </w:r>
      <w:r>
        <w:rPr>
          <w:rFonts w:hint="default" w:ascii="Times New Roman" w:hAnsi="Times New Roman" w:eastAsia="宋体" w:cs="Times New Roman"/>
          <w:spacing w:val="0"/>
          <w:w w:val="100"/>
          <w:sz w:val="24"/>
          <w:szCs w:val="24"/>
          <w:lang w:val="en-US" w:eastAsia="zh-CN"/>
        </w:rPr>
        <w:t>中心点坐标为东经118.</w:t>
      </w:r>
      <w:r>
        <w:rPr>
          <w:rFonts w:hint="eastAsia" w:ascii="Times New Roman" w:hAnsi="Times New Roman" w:eastAsia="宋体" w:cs="Times New Roman"/>
          <w:spacing w:val="0"/>
          <w:w w:val="100"/>
          <w:sz w:val="24"/>
          <w:szCs w:val="24"/>
          <w:lang w:val="en-US" w:eastAsia="zh-CN"/>
        </w:rPr>
        <w:t>630152</w:t>
      </w:r>
      <w:r>
        <w:rPr>
          <w:rFonts w:hint="default" w:ascii="Times New Roman" w:hAnsi="Times New Roman" w:eastAsia="宋体" w:cs="Times New Roman"/>
          <w:spacing w:val="0"/>
          <w:w w:val="100"/>
          <w:sz w:val="24"/>
          <w:szCs w:val="24"/>
          <w:lang w:val="en-US" w:eastAsia="zh-CN"/>
        </w:rPr>
        <w:t>°，北纬34.</w:t>
      </w:r>
      <w:r>
        <w:rPr>
          <w:rFonts w:hint="eastAsia" w:ascii="Times New Roman" w:hAnsi="Times New Roman" w:eastAsia="宋体" w:cs="Times New Roman"/>
          <w:spacing w:val="0"/>
          <w:w w:val="100"/>
          <w:sz w:val="24"/>
          <w:szCs w:val="24"/>
          <w:lang w:val="en-US" w:eastAsia="zh-CN"/>
        </w:rPr>
        <w:t>923042</w:t>
      </w:r>
      <w:r>
        <w:rPr>
          <w:rFonts w:hint="default" w:ascii="Times New Roman" w:hAnsi="Times New Roman" w:eastAsia="宋体" w:cs="Times New Roman"/>
          <w:spacing w:val="0"/>
          <w:w w:val="100"/>
          <w:sz w:val="24"/>
          <w:szCs w:val="24"/>
          <w:lang w:val="en-US" w:eastAsia="zh-CN"/>
        </w:rPr>
        <w:t>°。</w:t>
      </w:r>
      <w:r>
        <w:rPr>
          <w:rFonts w:hint="default" w:ascii="Times New Roman" w:hAnsi="Times New Roman" w:eastAsia="宋体" w:cs="Times New Roman"/>
          <w:spacing w:val="0"/>
          <w:w w:val="100"/>
          <w:sz w:val="24"/>
          <w:szCs w:val="24"/>
        </w:rPr>
        <w:t>地块平面范围拐点坐标如图</w:t>
      </w:r>
      <w:r>
        <w:rPr>
          <w:rFonts w:hint="default" w:ascii="Times New Roman" w:hAnsi="Times New Roman" w:eastAsia="宋体" w:cs="Times New Roman"/>
          <w:spacing w:val="0"/>
          <w:w w:val="100"/>
          <w:sz w:val="24"/>
          <w:szCs w:val="24"/>
          <w:lang w:val="en-US" w:eastAsia="zh-CN"/>
        </w:rPr>
        <w:t>2</w:t>
      </w:r>
      <w:r>
        <w:rPr>
          <w:rFonts w:hint="eastAsia" w:ascii="Times New Roman" w:hAnsi="Times New Roman" w:eastAsia="宋体" w:cs="Times New Roman"/>
          <w:spacing w:val="0"/>
          <w:w w:val="100"/>
          <w:sz w:val="24"/>
          <w:szCs w:val="24"/>
          <w:lang w:val="en-US" w:eastAsia="zh-CN"/>
        </w:rPr>
        <w:t>.</w:t>
      </w:r>
      <w:r>
        <w:rPr>
          <w:rFonts w:hint="default" w:ascii="Times New Roman" w:hAnsi="Times New Roman" w:eastAsia="宋体" w:cs="Times New Roman"/>
          <w:spacing w:val="0"/>
          <w:w w:val="100"/>
          <w:sz w:val="24"/>
          <w:szCs w:val="24"/>
          <w:lang w:val="en-US" w:eastAsia="zh-CN"/>
        </w:rPr>
        <w:t>2</w:t>
      </w:r>
      <w:r>
        <w:rPr>
          <w:rFonts w:hint="default" w:ascii="Times New Roman" w:hAnsi="Times New Roman" w:eastAsia="宋体" w:cs="Times New Roman"/>
          <w:spacing w:val="0"/>
          <w:w w:val="100"/>
          <w:sz w:val="24"/>
          <w:szCs w:val="24"/>
        </w:rPr>
        <w:t>-1和表</w:t>
      </w:r>
      <w:r>
        <w:rPr>
          <w:rFonts w:hint="default" w:ascii="Times New Roman" w:hAnsi="Times New Roman" w:eastAsia="宋体" w:cs="Times New Roman"/>
          <w:spacing w:val="0"/>
          <w:w w:val="100"/>
          <w:sz w:val="24"/>
          <w:szCs w:val="24"/>
          <w:lang w:val="en-US" w:eastAsia="zh-CN"/>
        </w:rPr>
        <w:t>2</w:t>
      </w:r>
      <w:r>
        <w:rPr>
          <w:rFonts w:hint="eastAsia" w:ascii="Times New Roman" w:hAnsi="Times New Roman" w:eastAsia="宋体" w:cs="Times New Roman"/>
          <w:spacing w:val="0"/>
          <w:w w:val="100"/>
          <w:sz w:val="24"/>
          <w:szCs w:val="24"/>
          <w:lang w:val="en-US" w:eastAsia="zh-CN"/>
        </w:rPr>
        <w:t>.</w:t>
      </w:r>
      <w:r>
        <w:rPr>
          <w:rFonts w:hint="default" w:ascii="Times New Roman" w:hAnsi="Times New Roman" w:eastAsia="宋体" w:cs="Times New Roman"/>
          <w:spacing w:val="0"/>
          <w:w w:val="100"/>
          <w:sz w:val="24"/>
          <w:szCs w:val="24"/>
          <w:lang w:val="en-US" w:eastAsia="zh-CN"/>
        </w:rPr>
        <w:t>2</w:t>
      </w:r>
      <w:r>
        <w:rPr>
          <w:rFonts w:hint="default" w:ascii="Times New Roman" w:hAnsi="Times New Roman" w:eastAsia="宋体" w:cs="Times New Roman"/>
          <w:spacing w:val="0"/>
          <w:w w:val="100"/>
          <w:sz w:val="24"/>
          <w:szCs w:val="24"/>
        </w:rPr>
        <w:t>-</w:t>
      </w:r>
      <w:r>
        <w:rPr>
          <w:rFonts w:hint="default" w:ascii="Times New Roman" w:hAnsi="Times New Roman" w:eastAsia="宋体" w:cs="Times New Roman"/>
          <w:spacing w:val="0"/>
          <w:w w:val="100"/>
          <w:sz w:val="24"/>
          <w:szCs w:val="24"/>
          <w:lang w:val="en-US" w:eastAsia="zh-CN"/>
        </w:rPr>
        <w:t>2，地块勘界图见图2</w:t>
      </w:r>
      <w:r>
        <w:rPr>
          <w:rFonts w:hint="eastAsia" w:ascii="Times New Roman" w:hAnsi="Times New Roman" w:eastAsia="宋体" w:cs="Times New Roman"/>
          <w:spacing w:val="0"/>
          <w:w w:val="100"/>
          <w:sz w:val="24"/>
          <w:szCs w:val="24"/>
          <w:lang w:val="en-US" w:eastAsia="zh-CN"/>
        </w:rPr>
        <w:t>.</w:t>
      </w:r>
      <w:r>
        <w:rPr>
          <w:rFonts w:hint="default" w:ascii="Times New Roman" w:hAnsi="Times New Roman" w:eastAsia="宋体" w:cs="Times New Roman"/>
          <w:spacing w:val="0"/>
          <w:w w:val="100"/>
          <w:sz w:val="24"/>
          <w:szCs w:val="24"/>
          <w:lang w:val="en-US" w:eastAsia="zh-CN"/>
        </w:rPr>
        <w:t>2-3</w:t>
      </w:r>
      <w:r>
        <w:rPr>
          <w:rFonts w:hint="default" w:ascii="Times New Roman" w:hAnsi="Times New Roman" w:eastAsia="宋体" w:cs="Times New Roman"/>
          <w:spacing w:val="0"/>
          <w:w w:val="100"/>
          <w:sz w:val="24"/>
          <w:szCs w:val="24"/>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outlineLvl w:val="9"/>
        <w:rPr>
          <w:rFonts w:hint="default" w:ascii="Times New Roman" w:hAnsi="Times New Roman" w:eastAsia="宋体" w:cs="Times New Roman"/>
          <w:b/>
          <w:spacing w:val="0"/>
          <w:w w:val="100"/>
          <w:sz w:val="21"/>
          <w:szCs w:val="21"/>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eastAsiaTheme="minorEastAsia"/>
          <w:b/>
          <w:bCs/>
          <w:color w:val="000000"/>
          <w:kern w:val="0"/>
          <w:sz w:val="24"/>
          <w:szCs w:val="24"/>
          <w:highlight w:val="none"/>
          <w:lang w:val="en-US" w:eastAsia="zh-CN" w:bidi="ar"/>
        </w:rPr>
        <w:drawing>
          <wp:anchor distT="0" distB="0" distL="114300" distR="114300" simplePos="0" relativeHeight="251661312" behindDoc="0" locked="0" layoutInCell="1" allowOverlap="1">
            <wp:simplePos x="0" y="0"/>
            <wp:positionH relativeFrom="column">
              <wp:posOffset>7732395</wp:posOffset>
            </wp:positionH>
            <wp:positionV relativeFrom="page">
              <wp:posOffset>1090930</wp:posOffset>
            </wp:positionV>
            <wp:extent cx="688340" cy="688340"/>
            <wp:effectExtent l="0" t="0" r="16510" b="16510"/>
            <wp:wrapNone/>
            <wp:docPr id="18" name="图片 18" descr="临沭风向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临沭风向玫瑰"/>
                    <pic:cNvPicPr>
                      <a:picLocks noChangeAspect="1"/>
                    </pic:cNvPicPr>
                  </pic:nvPicPr>
                  <pic:blipFill>
                    <a:blip r:embed="rId5"/>
                    <a:stretch>
                      <a:fillRect/>
                    </a:stretch>
                  </pic:blipFill>
                  <pic:spPr>
                    <a:xfrm>
                      <a:off x="0" y="0"/>
                      <a:ext cx="688340" cy="688340"/>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column">
              <wp:posOffset>693420</wp:posOffset>
            </wp:positionH>
            <wp:positionV relativeFrom="page">
              <wp:posOffset>1079500</wp:posOffset>
            </wp:positionV>
            <wp:extent cx="7734300" cy="5088255"/>
            <wp:effectExtent l="0" t="0" r="0" b="17145"/>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7734300" cy="5088255"/>
                    </a:xfrm>
                    <a:prstGeom prst="rect">
                      <a:avLst/>
                    </a:prstGeom>
                    <a:noFill/>
                    <a:ln>
                      <a:noFill/>
                    </a:ln>
                  </pic:spPr>
                </pic:pic>
              </a:graphicData>
            </a:graphic>
          </wp:anchor>
        </w:drawing>
      </w:r>
      <w:r>
        <w:rPr>
          <w:rFonts w:hint="default" w:ascii="Times New Roman" w:hAnsi="Times New Roman" w:eastAsia="宋体" w:cs="Times New Roman"/>
          <w:b/>
          <w:spacing w:val="0"/>
          <w:w w:val="100"/>
          <w:sz w:val="21"/>
          <w:szCs w:val="21"/>
        </w:rPr>
        <w:t xml:space="preserve">图 </w:t>
      </w:r>
      <w:r>
        <w:rPr>
          <w:rFonts w:hint="default" w:ascii="Times New Roman" w:hAnsi="Times New Roman" w:eastAsia="宋体" w:cs="Times New Roman"/>
          <w:b/>
          <w:spacing w:val="0"/>
          <w:w w:val="100"/>
          <w:sz w:val="21"/>
          <w:szCs w:val="21"/>
          <w:lang w:val="en-US" w:eastAsia="zh-CN"/>
        </w:rPr>
        <w:t>2</w:t>
      </w:r>
      <w:r>
        <w:rPr>
          <w:rFonts w:hint="eastAsia" w:ascii="Times New Roman" w:hAnsi="Times New Roman" w:eastAsia="宋体" w:cs="Times New Roman"/>
          <w:b/>
          <w:spacing w:val="0"/>
          <w:w w:val="100"/>
          <w:sz w:val="21"/>
          <w:szCs w:val="21"/>
          <w:lang w:val="en-US" w:eastAsia="zh-CN"/>
        </w:rPr>
        <w:t>.</w:t>
      </w:r>
      <w:r>
        <w:rPr>
          <w:rFonts w:hint="default" w:ascii="Times New Roman" w:hAnsi="Times New Roman" w:eastAsia="宋体" w:cs="Times New Roman"/>
          <w:b/>
          <w:spacing w:val="0"/>
          <w:w w:val="100"/>
          <w:sz w:val="21"/>
          <w:szCs w:val="21"/>
          <w:lang w:val="en-US" w:eastAsia="zh-CN"/>
        </w:rPr>
        <w:t>2</w:t>
      </w:r>
      <w:r>
        <w:rPr>
          <w:rFonts w:hint="default" w:ascii="Times New Roman" w:hAnsi="Times New Roman" w:eastAsia="宋体" w:cs="Times New Roman"/>
          <w:b/>
          <w:spacing w:val="0"/>
          <w:w w:val="100"/>
          <w:sz w:val="21"/>
          <w:szCs w:val="21"/>
        </w:rPr>
        <w:t>-1 地块</w:t>
      </w:r>
      <w:r>
        <w:rPr>
          <w:rFonts w:hint="default" w:ascii="Times New Roman" w:hAnsi="Times New Roman" w:eastAsia="宋体" w:cs="Times New Roman"/>
          <w:b/>
          <w:spacing w:val="0"/>
          <w:w w:val="100"/>
          <w:sz w:val="21"/>
          <w:szCs w:val="21"/>
          <w:lang w:val="en-US" w:eastAsia="zh-CN"/>
        </w:rPr>
        <w:t>红</w:t>
      </w:r>
      <w:r>
        <w:rPr>
          <w:rFonts w:hint="default" w:ascii="Times New Roman" w:hAnsi="Times New Roman" w:eastAsia="宋体" w:cs="Times New Roman"/>
          <w:b/>
          <w:spacing w:val="0"/>
          <w:w w:val="100"/>
          <w:sz w:val="21"/>
          <w:szCs w:val="21"/>
        </w:rPr>
        <w:t>线范围拐点坐标图</w:t>
      </w:r>
    </w:p>
    <w:p>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318" w:right="0" w:firstLine="0"/>
        <w:jc w:val="center"/>
        <w:textAlignment w:val="auto"/>
        <w:rPr>
          <w:rFonts w:hint="eastAsia" w:ascii="Times New Roman" w:hAnsi="Times New Roman" w:eastAsia="宋体" w:cs="Times New Roman"/>
          <w:b/>
          <w:spacing w:val="0"/>
          <w:w w:val="100"/>
          <w:sz w:val="21"/>
          <w:szCs w:val="21"/>
          <w:lang w:eastAsia="zh-CN"/>
        </w:rPr>
      </w:pPr>
      <w:r>
        <w:rPr>
          <w:rFonts w:hint="default" w:ascii="Times New Roman" w:hAnsi="Times New Roman" w:eastAsia="宋体" w:cs="Times New Roman"/>
          <w:b/>
          <w:spacing w:val="0"/>
          <w:w w:val="100"/>
          <w:sz w:val="21"/>
          <w:szCs w:val="21"/>
        </w:rPr>
        <w:t xml:space="preserve">表 </w:t>
      </w:r>
      <w:r>
        <w:rPr>
          <w:rFonts w:hint="default" w:ascii="Times New Roman" w:hAnsi="Times New Roman" w:eastAsia="宋体" w:cs="Times New Roman"/>
          <w:b/>
          <w:spacing w:val="0"/>
          <w:w w:val="100"/>
          <w:sz w:val="21"/>
          <w:szCs w:val="21"/>
          <w:lang w:val="en-US" w:eastAsia="zh-CN"/>
        </w:rPr>
        <w:t>2</w:t>
      </w:r>
      <w:r>
        <w:rPr>
          <w:rFonts w:hint="eastAsia" w:ascii="Times New Roman" w:hAnsi="Times New Roman" w:eastAsia="宋体" w:cs="Times New Roman"/>
          <w:b/>
          <w:spacing w:val="0"/>
          <w:w w:val="100"/>
          <w:sz w:val="21"/>
          <w:szCs w:val="21"/>
          <w:lang w:val="en-US" w:eastAsia="zh-CN"/>
        </w:rPr>
        <w:t>.</w:t>
      </w:r>
      <w:r>
        <w:rPr>
          <w:rFonts w:hint="default" w:ascii="Times New Roman" w:hAnsi="Times New Roman" w:eastAsia="宋体" w:cs="Times New Roman"/>
          <w:b/>
          <w:spacing w:val="0"/>
          <w:w w:val="100"/>
          <w:sz w:val="21"/>
          <w:szCs w:val="21"/>
          <w:lang w:val="en-US" w:eastAsia="zh-CN"/>
        </w:rPr>
        <w:t>2</w:t>
      </w:r>
      <w:r>
        <w:rPr>
          <w:rFonts w:hint="default" w:ascii="Times New Roman" w:hAnsi="Times New Roman" w:eastAsia="宋体" w:cs="Times New Roman"/>
          <w:b/>
          <w:spacing w:val="0"/>
          <w:w w:val="100"/>
          <w:sz w:val="21"/>
          <w:szCs w:val="21"/>
        </w:rPr>
        <w:t>-</w:t>
      </w:r>
      <w:r>
        <w:rPr>
          <w:rFonts w:hint="eastAsia" w:ascii="Times New Roman" w:hAnsi="Times New Roman" w:eastAsia="宋体" w:cs="Times New Roman"/>
          <w:b/>
          <w:spacing w:val="0"/>
          <w:w w:val="100"/>
          <w:sz w:val="21"/>
          <w:szCs w:val="21"/>
          <w:lang w:val="en-US" w:eastAsia="zh-CN"/>
        </w:rPr>
        <w:t>2</w:t>
      </w:r>
      <w:r>
        <w:rPr>
          <w:rFonts w:hint="default" w:ascii="Times New Roman" w:hAnsi="Times New Roman" w:eastAsia="宋体" w:cs="Times New Roman"/>
          <w:b/>
          <w:spacing w:val="0"/>
          <w:w w:val="100"/>
          <w:sz w:val="21"/>
          <w:szCs w:val="21"/>
        </w:rPr>
        <w:t xml:space="preserve"> 地块平面范围拐点坐标</w:t>
      </w:r>
      <w:r>
        <w:rPr>
          <w:rFonts w:hint="eastAsia" w:ascii="Times New Roman" w:hAnsi="Times New Roman" w:eastAsia="宋体" w:cs="Times New Roman"/>
          <w:b/>
          <w:spacing w:val="0"/>
          <w:w w:val="100"/>
          <w:sz w:val="21"/>
          <w:szCs w:val="21"/>
          <w:lang w:eastAsia="zh-CN"/>
        </w:rPr>
        <w:t>（</w:t>
      </w:r>
      <w:r>
        <w:rPr>
          <w:rFonts w:hint="eastAsia" w:ascii="Times New Roman" w:hAnsi="Times New Roman" w:eastAsia="宋体" w:cs="Times New Roman"/>
          <w:b/>
          <w:spacing w:val="0"/>
          <w:w w:val="100"/>
          <w:sz w:val="21"/>
          <w:szCs w:val="21"/>
          <w:lang w:val="en-US" w:eastAsia="zh-CN"/>
        </w:rPr>
        <w:t>2000国家大地坐标系</w:t>
      </w:r>
      <w:r>
        <w:rPr>
          <w:rFonts w:hint="eastAsia" w:ascii="Times New Roman" w:hAnsi="Times New Roman" w:eastAsia="宋体" w:cs="Times New Roman"/>
          <w:b/>
          <w:spacing w:val="0"/>
          <w:w w:val="100"/>
          <w:sz w:val="21"/>
          <w:szCs w:val="21"/>
          <w:lang w:eastAsia="zh-CN"/>
        </w:rPr>
        <w:t>）</w:t>
      </w: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78"/>
        <w:gridCol w:w="1477"/>
        <w:gridCol w:w="2631"/>
        <w:gridCol w:w="2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78" w:type="dxa"/>
            <w:vMerge w:val="restart"/>
            <w:noWrap w:val="0"/>
            <w:vAlign w:val="center"/>
          </w:tcPr>
          <w:p>
            <w:pPr>
              <w:pStyle w:val="16"/>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firstLine="0" w:firstLineChars="0"/>
              <w:jc w:val="center"/>
              <w:textAlignment w:val="auto"/>
              <w:rPr>
                <w:rFonts w:hint="default" w:ascii="Times New Roman" w:hAnsi="Times New Roman" w:eastAsia="宋体" w:cs="Times New Roman"/>
                <w:spacing w:val="0"/>
                <w:w w:val="100"/>
                <w:sz w:val="24"/>
                <w:szCs w:val="24"/>
              </w:rPr>
            </w:pPr>
            <w:r>
              <w:rPr>
                <w:rFonts w:hint="default" w:ascii="Times New Roman" w:hAnsi="Times New Roman" w:eastAsia="宋体" w:cs="Times New Roman"/>
                <w:spacing w:val="0"/>
                <w:w w:val="100"/>
                <w:sz w:val="24"/>
                <w:szCs w:val="24"/>
              </w:rPr>
              <w:t>序号</w:t>
            </w:r>
          </w:p>
        </w:tc>
        <w:tc>
          <w:tcPr>
            <w:tcW w:w="1477" w:type="dxa"/>
            <w:vMerge w:val="restart"/>
            <w:noWrap w:val="0"/>
            <w:vAlign w:val="center"/>
          </w:tcPr>
          <w:p>
            <w:pPr>
              <w:pStyle w:val="16"/>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firstLine="0" w:firstLineChars="0"/>
              <w:jc w:val="center"/>
              <w:textAlignment w:val="auto"/>
              <w:rPr>
                <w:rFonts w:hint="default" w:ascii="Times New Roman" w:hAnsi="Times New Roman" w:eastAsia="宋体" w:cs="Times New Roman"/>
                <w:spacing w:val="0"/>
                <w:w w:val="100"/>
                <w:sz w:val="24"/>
                <w:szCs w:val="24"/>
              </w:rPr>
            </w:pPr>
            <w:r>
              <w:rPr>
                <w:rFonts w:hint="default" w:ascii="Times New Roman" w:hAnsi="Times New Roman" w:eastAsia="宋体" w:cs="Times New Roman"/>
                <w:spacing w:val="0"/>
                <w:w w:val="100"/>
                <w:sz w:val="24"/>
                <w:szCs w:val="24"/>
              </w:rPr>
              <w:t>坐标点</w:t>
            </w:r>
          </w:p>
        </w:tc>
        <w:tc>
          <w:tcPr>
            <w:tcW w:w="5048" w:type="dxa"/>
            <w:gridSpan w:val="2"/>
            <w:noWrap w:val="0"/>
            <w:vAlign w:val="center"/>
          </w:tcPr>
          <w:p>
            <w:pPr>
              <w:pStyle w:val="16"/>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firstLine="0" w:firstLineChars="0"/>
              <w:jc w:val="center"/>
              <w:textAlignment w:val="auto"/>
              <w:rPr>
                <w:rFonts w:hint="default" w:ascii="Times New Roman" w:hAnsi="Times New Roman" w:eastAsia="宋体" w:cs="Times New Roman"/>
                <w:spacing w:val="0"/>
                <w:w w:val="100"/>
                <w:sz w:val="24"/>
                <w:szCs w:val="24"/>
              </w:rPr>
            </w:pPr>
            <w:r>
              <w:rPr>
                <w:rFonts w:hint="default" w:ascii="Times New Roman" w:hAnsi="Times New Roman" w:eastAsia="宋体" w:cs="Times New Roman"/>
                <w:spacing w:val="0"/>
                <w:w w:val="100"/>
                <w:sz w:val="24"/>
                <w:szCs w:val="24"/>
              </w:rPr>
              <w:t>坐</w:t>
            </w:r>
            <w:r>
              <w:rPr>
                <w:rFonts w:hint="default" w:ascii="Times New Roman" w:hAnsi="Times New Roman" w:eastAsia="宋体" w:cs="Times New Roman"/>
                <w:spacing w:val="0"/>
                <w:w w:val="100"/>
                <w:sz w:val="24"/>
                <w:szCs w:val="24"/>
                <w:lang w:val="en-US" w:eastAsia="zh-CN"/>
              </w:rPr>
              <w:t xml:space="preserve">   </w:t>
            </w:r>
            <w:r>
              <w:rPr>
                <w:rFonts w:hint="default" w:ascii="Times New Roman" w:hAnsi="Times New Roman" w:eastAsia="宋体" w:cs="Times New Roman"/>
                <w:spacing w:val="0"/>
                <w:w w:val="100"/>
                <w:sz w:val="24"/>
                <w:szCs w:val="24"/>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78" w:type="dxa"/>
            <w:vMerge w:val="continue"/>
            <w:tcBorders>
              <w:top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firstLine="0" w:firstLineChars="0"/>
              <w:jc w:val="center"/>
              <w:textAlignment w:val="auto"/>
              <w:rPr>
                <w:rFonts w:hint="default" w:ascii="Times New Roman" w:hAnsi="Times New Roman" w:eastAsia="宋体" w:cs="Times New Roman"/>
                <w:spacing w:val="0"/>
                <w:w w:val="100"/>
                <w:sz w:val="24"/>
                <w:szCs w:val="24"/>
              </w:rPr>
            </w:pPr>
          </w:p>
        </w:tc>
        <w:tc>
          <w:tcPr>
            <w:tcW w:w="1477" w:type="dxa"/>
            <w:vMerge w:val="continue"/>
            <w:tcBorders>
              <w:top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right="0" w:firstLine="0" w:firstLineChars="0"/>
              <w:jc w:val="center"/>
              <w:textAlignment w:val="auto"/>
              <w:rPr>
                <w:rFonts w:hint="default" w:ascii="Times New Roman" w:hAnsi="Times New Roman" w:eastAsia="宋体" w:cs="Times New Roman"/>
                <w:spacing w:val="0"/>
                <w:w w:val="100"/>
                <w:sz w:val="24"/>
                <w:szCs w:val="24"/>
              </w:rPr>
            </w:pPr>
          </w:p>
        </w:tc>
        <w:tc>
          <w:tcPr>
            <w:tcW w:w="2631" w:type="dxa"/>
            <w:noWrap w:val="0"/>
            <w:vAlign w:val="center"/>
          </w:tcPr>
          <w:p>
            <w:pPr>
              <w:pStyle w:val="16"/>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11" w:right="0" w:firstLine="0" w:firstLineChars="0"/>
              <w:jc w:val="center"/>
              <w:textAlignment w:val="auto"/>
              <w:rPr>
                <w:rFonts w:hint="default" w:ascii="Times New Roman" w:hAnsi="Times New Roman" w:eastAsia="宋体" w:cs="Times New Roman"/>
                <w:spacing w:val="0"/>
                <w:w w:val="100"/>
                <w:sz w:val="24"/>
                <w:szCs w:val="24"/>
              </w:rPr>
            </w:pPr>
            <w:r>
              <w:rPr>
                <w:rFonts w:hint="default" w:ascii="Times New Roman" w:hAnsi="Times New Roman" w:eastAsia="宋体" w:cs="Times New Roman"/>
                <w:spacing w:val="0"/>
                <w:w w:val="100"/>
                <w:sz w:val="24"/>
                <w:szCs w:val="24"/>
              </w:rPr>
              <w:t>X</w:t>
            </w:r>
          </w:p>
        </w:tc>
        <w:tc>
          <w:tcPr>
            <w:tcW w:w="2417" w:type="dxa"/>
            <w:noWrap w:val="0"/>
            <w:vAlign w:val="center"/>
          </w:tcPr>
          <w:p>
            <w:pPr>
              <w:pStyle w:val="16"/>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8" w:right="0" w:firstLine="0" w:firstLineChars="0"/>
              <w:jc w:val="center"/>
              <w:textAlignment w:val="auto"/>
              <w:rPr>
                <w:rFonts w:hint="default" w:ascii="Times New Roman" w:hAnsi="Times New Roman" w:eastAsia="宋体" w:cs="Times New Roman"/>
                <w:spacing w:val="0"/>
                <w:w w:val="100"/>
                <w:sz w:val="24"/>
                <w:szCs w:val="24"/>
              </w:rPr>
            </w:pPr>
            <w:r>
              <w:rPr>
                <w:rFonts w:hint="default" w:ascii="Times New Roman" w:hAnsi="Times New Roman" w:eastAsia="宋体" w:cs="Times New Roman"/>
                <w:spacing w:val="0"/>
                <w:w w:val="100"/>
                <w:sz w:val="24"/>
                <w:szCs w:val="24"/>
              </w:rPr>
              <w: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78" w:type="dxa"/>
            <w:noWrap w:val="0"/>
            <w:vAlign w:val="center"/>
          </w:tcPr>
          <w:p>
            <w:pPr>
              <w:pStyle w:val="16"/>
              <w:keepNext w:val="0"/>
              <w:keepLines w:val="0"/>
              <w:pageBreakBefore w:val="0"/>
              <w:widowControl w:val="0"/>
              <w:kinsoku/>
              <w:wordWrap/>
              <w:overflowPunct/>
              <w:topLinePunct w:val="0"/>
              <w:autoSpaceDE w:val="0"/>
              <w:autoSpaceDN w:val="0"/>
              <w:bidi w:val="0"/>
              <w:adjustRightInd/>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pacing w:val="0"/>
                <w:w w:val="100"/>
                <w:kern w:val="2"/>
                <w:position w:val="0"/>
                <w:sz w:val="24"/>
                <w:szCs w:val="24"/>
                <w:lang w:val="zh-CN" w:eastAsia="zh-CN" w:bidi="zh-CN"/>
              </w:rPr>
            </w:pPr>
            <w:r>
              <w:rPr>
                <w:rFonts w:hint="default" w:ascii="Times New Roman" w:hAnsi="Times New Roman" w:eastAsia="宋体" w:cs="Times New Roman"/>
                <w:snapToGrid/>
                <w:color w:val="auto"/>
                <w:spacing w:val="0"/>
                <w:w w:val="100"/>
                <w:kern w:val="2"/>
                <w:position w:val="0"/>
                <w:sz w:val="24"/>
                <w:szCs w:val="24"/>
              </w:rPr>
              <w:t>1</w:t>
            </w:r>
          </w:p>
        </w:tc>
        <w:tc>
          <w:tcPr>
            <w:tcW w:w="1477" w:type="dxa"/>
            <w:noWrap w:val="0"/>
            <w:vAlign w:val="center"/>
          </w:tcPr>
          <w:p>
            <w:pPr>
              <w:pStyle w:val="16"/>
              <w:keepNext w:val="0"/>
              <w:keepLines w:val="0"/>
              <w:pageBreakBefore w:val="0"/>
              <w:widowControl w:val="0"/>
              <w:kinsoku/>
              <w:wordWrap/>
              <w:overflowPunct/>
              <w:topLinePunct w:val="0"/>
              <w:autoSpaceDE w:val="0"/>
              <w:autoSpaceDN w:val="0"/>
              <w:bidi w:val="0"/>
              <w:adjustRightInd/>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pacing w:val="0"/>
                <w:w w:val="100"/>
                <w:kern w:val="2"/>
                <w:position w:val="0"/>
                <w:sz w:val="24"/>
                <w:szCs w:val="24"/>
                <w:lang w:val="en-US" w:eastAsia="zh-CN" w:bidi="zh-CN"/>
              </w:rPr>
            </w:pPr>
            <w:r>
              <w:rPr>
                <w:rFonts w:hint="default" w:ascii="Times New Roman" w:hAnsi="Times New Roman" w:eastAsia="宋体" w:cs="Times New Roman"/>
                <w:snapToGrid/>
                <w:color w:val="auto"/>
                <w:spacing w:val="0"/>
                <w:w w:val="100"/>
                <w:kern w:val="2"/>
                <w:position w:val="0"/>
                <w:sz w:val="24"/>
                <w:szCs w:val="24"/>
                <w:lang w:val="en-US" w:eastAsia="zh-CN"/>
              </w:rPr>
              <w:t>J1</w:t>
            </w:r>
          </w:p>
        </w:tc>
        <w:tc>
          <w:tcPr>
            <w:tcW w:w="2631" w:type="dxa"/>
            <w:noWrap w:val="0"/>
            <w:vAlign w:val="center"/>
          </w:tcPr>
          <w:p>
            <w:pPr>
              <w:pStyle w:val="16"/>
              <w:keepNext w:val="0"/>
              <w:keepLines w:val="0"/>
              <w:pageBreakBefore w:val="0"/>
              <w:widowControl w:val="0"/>
              <w:kinsoku/>
              <w:wordWrap/>
              <w:overflowPunct/>
              <w:topLinePunct w:val="0"/>
              <w:autoSpaceDE w:val="0"/>
              <w:autoSpaceDN w:val="0"/>
              <w:bidi w:val="0"/>
              <w:adjustRightInd/>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position w:val="0"/>
                <w:sz w:val="24"/>
                <w:szCs w:val="24"/>
                <w:highlight w:val="none"/>
                <w:lang w:val="en-US" w:eastAsia="zh-CN" w:bidi="zh-CN"/>
              </w:rPr>
            </w:pPr>
            <w:r>
              <w:rPr>
                <w:rFonts w:hint="eastAsia" w:eastAsia="宋体" w:cs="Times New Roman"/>
                <w:color w:val="auto"/>
                <w:spacing w:val="0"/>
                <w:w w:val="100"/>
                <w:position w:val="0"/>
                <w:sz w:val="24"/>
                <w:szCs w:val="24"/>
                <w:highlight w:val="none"/>
                <w:lang w:val="en-US" w:eastAsia="zh-CN"/>
              </w:rPr>
              <w:t>3867065.350</w:t>
            </w:r>
          </w:p>
        </w:tc>
        <w:tc>
          <w:tcPr>
            <w:tcW w:w="2417" w:type="dxa"/>
            <w:noWrap w:val="0"/>
            <w:vAlign w:val="center"/>
          </w:tcPr>
          <w:p>
            <w:pPr>
              <w:pStyle w:val="16"/>
              <w:keepNext w:val="0"/>
              <w:keepLines w:val="0"/>
              <w:pageBreakBefore w:val="0"/>
              <w:widowControl w:val="0"/>
              <w:kinsoku/>
              <w:wordWrap/>
              <w:overflowPunct/>
              <w:topLinePunct w:val="0"/>
              <w:autoSpaceDE w:val="0"/>
              <w:autoSpaceDN w:val="0"/>
              <w:bidi w:val="0"/>
              <w:adjustRightInd/>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position w:val="0"/>
                <w:sz w:val="24"/>
                <w:szCs w:val="24"/>
                <w:highlight w:val="none"/>
                <w:lang w:val="en-US" w:eastAsia="zh-CN" w:bidi="zh-CN"/>
              </w:rPr>
            </w:pPr>
            <w:r>
              <w:rPr>
                <w:rFonts w:hint="eastAsia" w:eastAsia="宋体" w:cs="Times New Roman"/>
                <w:color w:val="auto"/>
                <w:spacing w:val="0"/>
                <w:w w:val="100"/>
                <w:kern w:val="2"/>
                <w:position w:val="0"/>
                <w:sz w:val="24"/>
                <w:szCs w:val="24"/>
                <w:highlight w:val="none"/>
                <w:lang w:val="en-US" w:eastAsia="zh-CN" w:bidi="zh-CN"/>
              </w:rPr>
              <w:t>40374790.169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78" w:type="dxa"/>
            <w:noWrap w:val="0"/>
            <w:vAlign w:val="center"/>
          </w:tcPr>
          <w:p>
            <w:pPr>
              <w:pStyle w:val="16"/>
              <w:keepNext w:val="0"/>
              <w:keepLines w:val="0"/>
              <w:pageBreakBefore w:val="0"/>
              <w:widowControl w:val="0"/>
              <w:kinsoku/>
              <w:wordWrap/>
              <w:overflowPunct/>
              <w:topLinePunct w:val="0"/>
              <w:autoSpaceDE w:val="0"/>
              <w:autoSpaceDN w:val="0"/>
              <w:bidi w:val="0"/>
              <w:adjustRightInd/>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pacing w:val="0"/>
                <w:w w:val="100"/>
                <w:kern w:val="2"/>
                <w:position w:val="0"/>
                <w:sz w:val="24"/>
                <w:szCs w:val="24"/>
                <w:lang w:val="zh-CN" w:eastAsia="zh-CN" w:bidi="zh-CN"/>
              </w:rPr>
            </w:pPr>
            <w:r>
              <w:rPr>
                <w:rFonts w:hint="default" w:ascii="Times New Roman" w:hAnsi="Times New Roman" w:eastAsia="宋体" w:cs="Times New Roman"/>
                <w:snapToGrid/>
                <w:color w:val="auto"/>
                <w:spacing w:val="0"/>
                <w:w w:val="100"/>
                <w:kern w:val="2"/>
                <w:position w:val="0"/>
                <w:sz w:val="24"/>
                <w:szCs w:val="24"/>
              </w:rPr>
              <w:t>2</w:t>
            </w:r>
          </w:p>
        </w:tc>
        <w:tc>
          <w:tcPr>
            <w:tcW w:w="1477" w:type="dxa"/>
            <w:noWrap w:val="0"/>
            <w:vAlign w:val="center"/>
          </w:tcPr>
          <w:p>
            <w:pPr>
              <w:pStyle w:val="16"/>
              <w:keepNext w:val="0"/>
              <w:keepLines w:val="0"/>
              <w:pageBreakBefore w:val="0"/>
              <w:widowControl w:val="0"/>
              <w:kinsoku/>
              <w:wordWrap/>
              <w:overflowPunct/>
              <w:topLinePunct w:val="0"/>
              <w:autoSpaceDE w:val="0"/>
              <w:autoSpaceDN w:val="0"/>
              <w:bidi w:val="0"/>
              <w:adjustRightInd/>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pacing w:val="0"/>
                <w:w w:val="100"/>
                <w:kern w:val="2"/>
                <w:position w:val="0"/>
                <w:sz w:val="24"/>
                <w:szCs w:val="24"/>
                <w:lang w:val="en-US" w:eastAsia="zh-CN" w:bidi="zh-CN"/>
              </w:rPr>
            </w:pPr>
            <w:r>
              <w:rPr>
                <w:rFonts w:hint="default" w:ascii="Times New Roman" w:hAnsi="Times New Roman" w:eastAsia="宋体" w:cs="Times New Roman"/>
                <w:snapToGrid/>
                <w:color w:val="auto"/>
                <w:spacing w:val="0"/>
                <w:w w:val="100"/>
                <w:kern w:val="2"/>
                <w:position w:val="0"/>
                <w:sz w:val="24"/>
                <w:szCs w:val="24"/>
                <w:lang w:val="en-US" w:eastAsia="zh-CN"/>
              </w:rPr>
              <w:t>J2</w:t>
            </w:r>
          </w:p>
        </w:tc>
        <w:tc>
          <w:tcPr>
            <w:tcW w:w="2631"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color w:val="auto"/>
                <w:spacing w:val="0"/>
                <w:w w:val="100"/>
                <w:kern w:val="2"/>
                <w:position w:val="0"/>
                <w:sz w:val="24"/>
                <w:szCs w:val="24"/>
                <w:u w:val="none"/>
                <w:lang w:val="en-US" w:eastAsia="zh-CN" w:bidi="ar-SA"/>
              </w:rPr>
            </w:pPr>
            <w:r>
              <w:rPr>
                <w:rFonts w:hint="eastAsia" w:ascii="Times New Roman" w:hAnsi="Times New Roman" w:eastAsia="宋体" w:cs="Times New Roman"/>
                <w:i w:val="0"/>
                <w:color w:val="auto"/>
                <w:spacing w:val="0"/>
                <w:w w:val="100"/>
                <w:kern w:val="2"/>
                <w:position w:val="0"/>
                <w:sz w:val="24"/>
                <w:szCs w:val="24"/>
                <w:u w:val="none"/>
                <w:lang w:val="en-US" w:eastAsia="zh-CN" w:bidi="ar-SA"/>
              </w:rPr>
              <w:t>3866998.267</w:t>
            </w:r>
          </w:p>
        </w:tc>
        <w:tc>
          <w:tcPr>
            <w:tcW w:w="2417"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i w:val="0"/>
                <w:color w:val="auto"/>
                <w:spacing w:val="0"/>
                <w:w w:val="100"/>
                <w:kern w:val="2"/>
                <w:position w:val="0"/>
                <w:sz w:val="24"/>
                <w:szCs w:val="24"/>
                <w:u w:val="none"/>
                <w:lang w:val="en-US" w:eastAsia="zh-CN" w:bidi="ar-SA"/>
              </w:rPr>
            </w:pPr>
            <w:r>
              <w:rPr>
                <w:rFonts w:hint="eastAsia" w:ascii="Times New Roman" w:hAnsi="Times New Roman" w:eastAsia="宋体" w:cs="Times New Roman"/>
                <w:i w:val="0"/>
                <w:color w:val="auto"/>
                <w:spacing w:val="0"/>
                <w:w w:val="100"/>
                <w:kern w:val="2"/>
                <w:position w:val="0"/>
                <w:sz w:val="24"/>
                <w:szCs w:val="24"/>
                <w:u w:val="none"/>
                <w:lang w:val="en-US" w:eastAsia="zh-CN" w:bidi="ar-SA"/>
              </w:rPr>
              <w:t>40374946.895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78" w:type="dxa"/>
            <w:noWrap w:val="0"/>
            <w:vAlign w:val="center"/>
          </w:tcPr>
          <w:p>
            <w:pPr>
              <w:pStyle w:val="16"/>
              <w:keepNext w:val="0"/>
              <w:keepLines w:val="0"/>
              <w:pageBreakBefore w:val="0"/>
              <w:widowControl w:val="0"/>
              <w:kinsoku/>
              <w:wordWrap/>
              <w:overflowPunct/>
              <w:topLinePunct w:val="0"/>
              <w:autoSpaceDE w:val="0"/>
              <w:autoSpaceDN w:val="0"/>
              <w:bidi w:val="0"/>
              <w:adjustRightInd/>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pacing w:val="0"/>
                <w:w w:val="100"/>
                <w:kern w:val="2"/>
                <w:position w:val="0"/>
                <w:sz w:val="24"/>
                <w:szCs w:val="24"/>
                <w:lang w:val="zh-CN" w:eastAsia="zh-CN" w:bidi="zh-CN"/>
              </w:rPr>
            </w:pPr>
            <w:r>
              <w:rPr>
                <w:rFonts w:hint="default" w:ascii="Times New Roman" w:hAnsi="Times New Roman" w:eastAsia="宋体" w:cs="Times New Roman"/>
                <w:snapToGrid/>
                <w:color w:val="auto"/>
                <w:spacing w:val="0"/>
                <w:w w:val="100"/>
                <w:kern w:val="2"/>
                <w:position w:val="0"/>
                <w:sz w:val="24"/>
                <w:szCs w:val="24"/>
              </w:rPr>
              <w:t>3</w:t>
            </w:r>
          </w:p>
        </w:tc>
        <w:tc>
          <w:tcPr>
            <w:tcW w:w="1477" w:type="dxa"/>
            <w:noWrap w:val="0"/>
            <w:vAlign w:val="center"/>
          </w:tcPr>
          <w:p>
            <w:pPr>
              <w:pStyle w:val="16"/>
              <w:keepNext w:val="0"/>
              <w:keepLines w:val="0"/>
              <w:pageBreakBefore w:val="0"/>
              <w:widowControl w:val="0"/>
              <w:kinsoku/>
              <w:wordWrap/>
              <w:overflowPunct/>
              <w:topLinePunct w:val="0"/>
              <w:autoSpaceDE w:val="0"/>
              <w:autoSpaceDN w:val="0"/>
              <w:bidi w:val="0"/>
              <w:adjustRightInd/>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pacing w:val="0"/>
                <w:w w:val="100"/>
                <w:kern w:val="2"/>
                <w:position w:val="0"/>
                <w:sz w:val="24"/>
                <w:szCs w:val="24"/>
                <w:lang w:val="en-US" w:eastAsia="zh-CN" w:bidi="zh-CN"/>
              </w:rPr>
            </w:pPr>
            <w:r>
              <w:rPr>
                <w:rFonts w:hint="default" w:ascii="Times New Roman" w:hAnsi="Times New Roman" w:eastAsia="宋体" w:cs="Times New Roman"/>
                <w:snapToGrid/>
                <w:color w:val="auto"/>
                <w:spacing w:val="0"/>
                <w:w w:val="100"/>
                <w:kern w:val="2"/>
                <w:position w:val="0"/>
                <w:sz w:val="24"/>
                <w:szCs w:val="24"/>
                <w:lang w:val="en-US" w:eastAsia="zh-CN"/>
              </w:rPr>
              <w:t>J3</w:t>
            </w:r>
          </w:p>
        </w:tc>
        <w:tc>
          <w:tcPr>
            <w:tcW w:w="2631" w:type="dxa"/>
            <w:noWrap w:val="0"/>
            <w:vAlign w:val="center"/>
          </w:tcPr>
          <w:p>
            <w:pPr>
              <w:pStyle w:val="16"/>
              <w:keepNext w:val="0"/>
              <w:keepLines w:val="0"/>
              <w:pageBreakBefore w:val="0"/>
              <w:widowControl w:val="0"/>
              <w:kinsoku/>
              <w:wordWrap/>
              <w:overflowPunct/>
              <w:topLinePunct w:val="0"/>
              <w:autoSpaceDE w:val="0"/>
              <w:autoSpaceDN w:val="0"/>
              <w:bidi w:val="0"/>
              <w:adjustRightInd/>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position w:val="0"/>
                <w:sz w:val="24"/>
                <w:szCs w:val="24"/>
                <w:highlight w:val="none"/>
                <w:lang w:val="en-US" w:eastAsia="zh-CN" w:bidi="zh-CN"/>
              </w:rPr>
            </w:pPr>
            <w:r>
              <w:rPr>
                <w:rFonts w:hint="eastAsia" w:eastAsia="宋体" w:cs="Times New Roman"/>
                <w:color w:val="auto"/>
                <w:spacing w:val="0"/>
                <w:w w:val="100"/>
                <w:kern w:val="2"/>
                <w:position w:val="0"/>
                <w:sz w:val="24"/>
                <w:szCs w:val="24"/>
                <w:highlight w:val="none"/>
                <w:lang w:val="en-US" w:eastAsia="zh-CN" w:bidi="zh-CN"/>
              </w:rPr>
              <w:t>3866754.833</w:t>
            </w:r>
          </w:p>
        </w:tc>
        <w:tc>
          <w:tcPr>
            <w:tcW w:w="2417" w:type="dxa"/>
            <w:noWrap w:val="0"/>
            <w:vAlign w:val="center"/>
          </w:tcPr>
          <w:p>
            <w:pPr>
              <w:pStyle w:val="16"/>
              <w:keepNext w:val="0"/>
              <w:keepLines w:val="0"/>
              <w:pageBreakBefore w:val="0"/>
              <w:widowControl w:val="0"/>
              <w:kinsoku/>
              <w:wordWrap/>
              <w:overflowPunct/>
              <w:topLinePunct w:val="0"/>
              <w:autoSpaceDE w:val="0"/>
              <w:autoSpaceDN w:val="0"/>
              <w:bidi w:val="0"/>
              <w:adjustRightInd/>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position w:val="0"/>
                <w:sz w:val="24"/>
                <w:szCs w:val="24"/>
                <w:highlight w:val="none"/>
                <w:lang w:val="en-US" w:eastAsia="zh-CN" w:bidi="zh-CN"/>
              </w:rPr>
            </w:pPr>
            <w:r>
              <w:rPr>
                <w:rFonts w:hint="eastAsia" w:eastAsia="宋体" w:cs="Times New Roman"/>
                <w:color w:val="auto"/>
                <w:spacing w:val="0"/>
                <w:w w:val="100"/>
                <w:kern w:val="2"/>
                <w:position w:val="0"/>
                <w:sz w:val="24"/>
                <w:szCs w:val="24"/>
                <w:highlight w:val="none"/>
                <w:lang w:val="en-US" w:eastAsia="zh-CN" w:bidi="zh-CN"/>
              </w:rPr>
              <w:t>40374841.901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78" w:type="dxa"/>
            <w:noWrap w:val="0"/>
            <w:vAlign w:val="center"/>
          </w:tcPr>
          <w:p>
            <w:pPr>
              <w:pStyle w:val="16"/>
              <w:keepNext w:val="0"/>
              <w:keepLines w:val="0"/>
              <w:pageBreakBefore w:val="0"/>
              <w:widowControl w:val="0"/>
              <w:kinsoku/>
              <w:wordWrap/>
              <w:overflowPunct/>
              <w:topLinePunct w:val="0"/>
              <w:autoSpaceDE w:val="0"/>
              <w:autoSpaceDN w:val="0"/>
              <w:bidi w:val="0"/>
              <w:adjustRightInd/>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pacing w:val="0"/>
                <w:w w:val="100"/>
                <w:kern w:val="2"/>
                <w:position w:val="0"/>
                <w:sz w:val="24"/>
                <w:szCs w:val="24"/>
                <w:lang w:val="zh-CN" w:eastAsia="zh-CN" w:bidi="zh-CN"/>
              </w:rPr>
            </w:pPr>
            <w:r>
              <w:rPr>
                <w:rFonts w:hint="default" w:ascii="Times New Roman" w:hAnsi="Times New Roman" w:eastAsia="宋体" w:cs="Times New Roman"/>
                <w:snapToGrid/>
                <w:color w:val="auto"/>
                <w:spacing w:val="0"/>
                <w:w w:val="100"/>
                <w:kern w:val="2"/>
                <w:position w:val="0"/>
                <w:sz w:val="24"/>
                <w:szCs w:val="24"/>
              </w:rPr>
              <w:t>4</w:t>
            </w:r>
          </w:p>
        </w:tc>
        <w:tc>
          <w:tcPr>
            <w:tcW w:w="1477" w:type="dxa"/>
            <w:noWrap w:val="0"/>
            <w:vAlign w:val="center"/>
          </w:tcPr>
          <w:p>
            <w:pPr>
              <w:pStyle w:val="16"/>
              <w:keepNext w:val="0"/>
              <w:keepLines w:val="0"/>
              <w:pageBreakBefore w:val="0"/>
              <w:widowControl w:val="0"/>
              <w:kinsoku/>
              <w:wordWrap/>
              <w:overflowPunct/>
              <w:topLinePunct w:val="0"/>
              <w:autoSpaceDE w:val="0"/>
              <w:autoSpaceDN w:val="0"/>
              <w:bidi w:val="0"/>
              <w:adjustRightInd/>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pacing w:val="0"/>
                <w:w w:val="100"/>
                <w:kern w:val="2"/>
                <w:position w:val="0"/>
                <w:sz w:val="24"/>
                <w:szCs w:val="24"/>
                <w:lang w:val="en-US" w:eastAsia="zh-CN" w:bidi="zh-CN"/>
              </w:rPr>
            </w:pPr>
            <w:r>
              <w:rPr>
                <w:rFonts w:hint="default" w:ascii="Times New Roman" w:hAnsi="Times New Roman" w:eastAsia="宋体" w:cs="Times New Roman"/>
                <w:snapToGrid/>
                <w:color w:val="auto"/>
                <w:spacing w:val="0"/>
                <w:w w:val="100"/>
                <w:kern w:val="2"/>
                <w:position w:val="0"/>
                <w:sz w:val="24"/>
                <w:szCs w:val="24"/>
                <w:lang w:val="en-US" w:eastAsia="zh-CN"/>
              </w:rPr>
              <w:t>J4</w:t>
            </w:r>
          </w:p>
        </w:tc>
        <w:tc>
          <w:tcPr>
            <w:tcW w:w="2631" w:type="dxa"/>
            <w:noWrap w:val="0"/>
            <w:vAlign w:val="center"/>
          </w:tcPr>
          <w:p>
            <w:pPr>
              <w:keepNext w:val="0"/>
              <w:keepLines w:val="0"/>
              <w:pageBreakBefore w:val="0"/>
              <w:widowControl/>
              <w:suppressLineNumbers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center"/>
              <w:rPr>
                <w:rFonts w:hint="default" w:ascii="Times New Roman" w:hAnsi="Times New Roman" w:eastAsia="宋体" w:cs="Times New Roman"/>
                <w:color w:val="auto"/>
                <w:spacing w:val="0"/>
                <w:w w:val="100"/>
                <w:kern w:val="2"/>
                <w:position w:val="0"/>
                <w:sz w:val="24"/>
                <w:szCs w:val="24"/>
                <w:highlight w:val="none"/>
                <w:lang w:val="en-US" w:eastAsia="zh-CN" w:bidi="ar-SA"/>
              </w:rPr>
            </w:pPr>
            <w:r>
              <w:rPr>
                <w:rFonts w:hint="eastAsia" w:ascii="Times New Roman" w:hAnsi="Times New Roman" w:eastAsia="宋体" w:cs="Times New Roman"/>
                <w:color w:val="auto"/>
                <w:spacing w:val="0"/>
                <w:w w:val="100"/>
                <w:kern w:val="2"/>
                <w:position w:val="0"/>
                <w:sz w:val="24"/>
                <w:szCs w:val="24"/>
                <w:highlight w:val="none"/>
                <w:lang w:val="en-US" w:eastAsia="zh-CN" w:bidi="ar-SA"/>
              </w:rPr>
              <w:t>3866839.595</w:t>
            </w:r>
          </w:p>
        </w:tc>
        <w:tc>
          <w:tcPr>
            <w:tcW w:w="2417" w:type="dxa"/>
            <w:noWrap w:val="0"/>
            <w:vAlign w:val="center"/>
          </w:tcPr>
          <w:p>
            <w:pPr>
              <w:pStyle w:val="16"/>
              <w:keepNext w:val="0"/>
              <w:keepLines w:val="0"/>
              <w:pageBreakBefore w:val="0"/>
              <w:widowControl w:val="0"/>
              <w:kinsoku/>
              <w:wordWrap/>
              <w:overflowPunct/>
              <w:topLinePunct w:val="0"/>
              <w:autoSpaceDE w:val="0"/>
              <w:autoSpaceDN w:val="0"/>
              <w:bidi w:val="0"/>
              <w:adjustRightInd/>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position w:val="0"/>
                <w:sz w:val="24"/>
                <w:szCs w:val="24"/>
                <w:highlight w:val="none"/>
                <w:lang w:val="en-US" w:eastAsia="zh-CN" w:bidi="zh-CN"/>
              </w:rPr>
            </w:pPr>
            <w:r>
              <w:rPr>
                <w:rFonts w:hint="eastAsia" w:eastAsia="宋体" w:cs="Times New Roman"/>
                <w:color w:val="auto"/>
                <w:spacing w:val="0"/>
                <w:w w:val="100"/>
                <w:kern w:val="2"/>
                <w:position w:val="0"/>
                <w:sz w:val="24"/>
                <w:szCs w:val="24"/>
                <w:highlight w:val="none"/>
                <w:lang w:val="en-US" w:eastAsia="zh-CN" w:bidi="zh-CN"/>
              </w:rPr>
              <w:t>40374707.493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78" w:type="dxa"/>
            <w:noWrap w:val="0"/>
            <w:vAlign w:val="center"/>
          </w:tcPr>
          <w:p>
            <w:pPr>
              <w:pStyle w:val="16"/>
              <w:keepNext w:val="0"/>
              <w:keepLines w:val="0"/>
              <w:pageBreakBefore w:val="0"/>
              <w:widowControl w:val="0"/>
              <w:kinsoku/>
              <w:wordWrap/>
              <w:overflowPunct/>
              <w:topLinePunct w:val="0"/>
              <w:autoSpaceDE w:val="0"/>
              <w:autoSpaceDN w:val="0"/>
              <w:bidi w:val="0"/>
              <w:adjustRightInd/>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pacing w:val="0"/>
                <w:w w:val="100"/>
                <w:kern w:val="2"/>
                <w:position w:val="0"/>
                <w:sz w:val="24"/>
                <w:szCs w:val="24"/>
                <w:lang w:val="en-US" w:eastAsia="zh-CN" w:bidi="zh-CN"/>
              </w:rPr>
            </w:pPr>
            <w:bookmarkStart w:id="10" w:name="_Toc15297"/>
            <w:bookmarkStart w:id="11" w:name="_Toc2622"/>
            <w:bookmarkStart w:id="12" w:name="_Toc18409"/>
            <w:bookmarkStart w:id="13" w:name="_Toc7284"/>
            <w:r>
              <w:rPr>
                <w:rFonts w:hint="eastAsia" w:ascii="Times New Roman" w:hAnsi="Times New Roman" w:eastAsia="宋体" w:cs="Times New Roman"/>
                <w:snapToGrid/>
                <w:color w:val="auto"/>
                <w:spacing w:val="0"/>
                <w:w w:val="100"/>
                <w:kern w:val="2"/>
                <w:position w:val="0"/>
                <w:sz w:val="24"/>
                <w:szCs w:val="24"/>
                <w:lang w:val="en-US" w:eastAsia="zh-CN"/>
              </w:rPr>
              <w:t>5</w:t>
            </w:r>
          </w:p>
        </w:tc>
        <w:tc>
          <w:tcPr>
            <w:tcW w:w="1477" w:type="dxa"/>
            <w:noWrap w:val="0"/>
            <w:vAlign w:val="center"/>
          </w:tcPr>
          <w:p>
            <w:pPr>
              <w:pStyle w:val="16"/>
              <w:keepNext w:val="0"/>
              <w:keepLines w:val="0"/>
              <w:pageBreakBefore w:val="0"/>
              <w:widowControl w:val="0"/>
              <w:kinsoku/>
              <w:wordWrap/>
              <w:overflowPunct/>
              <w:topLinePunct w:val="0"/>
              <w:autoSpaceDE w:val="0"/>
              <w:autoSpaceDN w:val="0"/>
              <w:bidi w:val="0"/>
              <w:adjustRightInd/>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spacing w:val="0"/>
                <w:w w:val="100"/>
                <w:kern w:val="2"/>
                <w:position w:val="0"/>
                <w:sz w:val="24"/>
                <w:szCs w:val="24"/>
                <w:lang w:val="en-US" w:eastAsia="zh-CN" w:bidi="zh-CN"/>
              </w:rPr>
            </w:pPr>
            <w:r>
              <w:rPr>
                <w:rFonts w:hint="eastAsia" w:ascii="Times New Roman" w:hAnsi="Times New Roman" w:eastAsia="宋体" w:cs="Times New Roman"/>
                <w:snapToGrid/>
                <w:color w:val="auto"/>
                <w:spacing w:val="0"/>
                <w:w w:val="100"/>
                <w:kern w:val="2"/>
                <w:position w:val="0"/>
                <w:sz w:val="24"/>
                <w:szCs w:val="24"/>
                <w:lang w:val="en-US" w:eastAsia="zh-CN"/>
              </w:rPr>
              <w:t>J</w:t>
            </w:r>
            <w:r>
              <w:rPr>
                <w:rFonts w:hint="eastAsia" w:eastAsia="宋体" w:cs="Times New Roman"/>
                <w:snapToGrid/>
                <w:color w:val="auto"/>
                <w:spacing w:val="0"/>
                <w:w w:val="100"/>
                <w:kern w:val="2"/>
                <w:position w:val="0"/>
                <w:sz w:val="24"/>
                <w:szCs w:val="24"/>
                <w:lang w:val="en-US" w:eastAsia="zh-CN"/>
              </w:rPr>
              <w:t>1</w:t>
            </w:r>
          </w:p>
        </w:tc>
        <w:tc>
          <w:tcPr>
            <w:tcW w:w="2631" w:type="dxa"/>
            <w:noWrap w:val="0"/>
            <w:vAlign w:val="center"/>
          </w:tcPr>
          <w:p>
            <w:pPr>
              <w:pStyle w:val="16"/>
              <w:keepNext w:val="0"/>
              <w:keepLines w:val="0"/>
              <w:pageBreakBefore w:val="0"/>
              <w:widowControl w:val="0"/>
              <w:kinsoku/>
              <w:wordWrap/>
              <w:overflowPunct/>
              <w:topLinePunct w:val="0"/>
              <w:autoSpaceDE w:val="0"/>
              <w:autoSpaceDN w:val="0"/>
              <w:bidi w:val="0"/>
              <w:adjustRightInd/>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position w:val="0"/>
                <w:sz w:val="24"/>
                <w:szCs w:val="24"/>
                <w:highlight w:val="none"/>
                <w:lang w:val="en-US" w:eastAsia="zh-CN" w:bidi="ar-SA"/>
              </w:rPr>
            </w:pPr>
            <w:r>
              <w:rPr>
                <w:rFonts w:hint="eastAsia" w:eastAsia="宋体" w:cs="Times New Roman"/>
                <w:color w:val="auto"/>
                <w:spacing w:val="0"/>
                <w:w w:val="100"/>
                <w:position w:val="0"/>
                <w:sz w:val="24"/>
                <w:szCs w:val="24"/>
                <w:highlight w:val="none"/>
                <w:lang w:val="en-US" w:eastAsia="zh-CN"/>
              </w:rPr>
              <w:t>3867065.350</w:t>
            </w:r>
          </w:p>
        </w:tc>
        <w:tc>
          <w:tcPr>
            <w:tcW w:w="2417" w:type="dxa"/>
            <w:noWrap w:val="0"/>
            <w:vAlign w:val="center"/>
          </w:tcPr>
          <w:p>
            <w:pPr>
              <w:pStyle w:val="16"/>
              <w:keepNext w:val="0"/>
              <w:keepLines w:val="0"/>
              <w:pageBreakBefore w:val="0"/>
              <w:widowControl w:val="0"/>
              <w:kinsoku/>
              <w:wordWrap/>
              <w:overflowPunct/>
              <w:topLinePunct w:val="0"/>
              <w:autoSpaceDE w:val="0"/>
              <w:autoSpaceDN w:val="0"/>
              <w:bidi w:val="0"/>
              <w:adjustRightInd/>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position w:val="0"/>
                <w:sz w:val="24"/>
                <w:szCs w:val="24"/>
                <w:highlight w:val="none"/>
                <w:lang w:val="en-US" w:eastAsia="zh-CN" w:bidi="ar-SA"/>
              </w:rPr>
            </w:pPr>
            <w:r>
              <w:rPr>
                <w:rFonts w:hint="eastAsia" w:eastAsia="宋体" w:cs="Times New Roman"/>
                <w:color w:val="auto"/>
                <w:spacing w:val="0"/>
                <w:w w:val="100"/>
                <w:kern w:val="2"/>
                <w:position w:val="0"/>
                <w:sz w:val="24"/>
                <w:szCs w:val="24"/>
                <w:highlight w:val="none"/>
                <w:lang w:val="en-US" w:eastAsia="zh-CN" w:bidi="zh-CN"/>
              </w:rPr>
              <w:t>40374790.169</w:t>
            </w:r>
          </w:p>
        </w:tc>
      </w:tr>
    </w:tbl>
    <w:p>
      <w:pPr>
        <w:pageBreakBefore w:val="0"/>
        <w:kinsoku/>
        <w:wordWrap/>
        <w:overflowPunct/>
        <w:topLinePunct w:val="0"/>
        <w:bidi w:val="0"/>
        <w:spacing w:line="360" w:lineRule="auto"/>
        <w:outlineLvl w:val="9"/>
        <w:rPr>
          <w:rFonts w:hint="default" w:ascii="Times New Roman" w:hAnsi="Times New Roman" w:eastAsia="宋体" w:cs="Times New Roman"/>
          <w:b/>
          <w:spacing w:val="0"/>
          <w:w w:val="100"/>
          <w:sz w:val="28"/>
          <w:szCs w:val="28"/>
          <w:lang w:val="en-US" w:eastAsia="zh-CN"/>
        </w:rPr>
      </w:pPr>
    </w:p>
    <w:p>
      <w:pPr>
        <w:pStyle w:val="11"/>
        <w:ind w:left="0" w:leftChars="0" w:firstLine="0" w:firstLineChars="0"/>
        <w:rPr>
          <w:rFonts w:hint="default" w:ascii="Times New Roman" w:hAnsi="Times New Roman" w:eastAsia="宋体" w:cs="Times New Roman"/>
          <w:b/>
          <w:spacing w:val="0"/>
          <w:w w:val="100"/>
          <w:sz w:val="28"/>
          <w:szCs w:val="28"/>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jc w:val="center"/>
        <w:rPr>
          <w:rFonts w:hint="eastAsia" w:ascii="Times New Roman" w:hAnsi="Times New Roman" w:eastAsia="宋体" w:cs="Times New Roman"/>
          <w:b/>
          <w:color w:val="auto"/>
          <w:spacing w:val="0"/>
          <w:w w:val="100"/>
          <w:sz w:val="21"/>
          <w:szCs w:val="21"/>
          <w:lang w:val="en-US" w:eastAsia="zh-CN"/>
        </w:rPr>
      </w:pPr>
      <w:r>
        <w:rPr>
          <w:rFonts w:hint="eastAsia" w:ascii="Times New Roman" w:hAnsi="Times New Roman" w:eastAsia="宋体" w:cs="Times New Roman"/>
          <w:b/>
          <w:color w:val="auto"/>
          <w:spacing w:val="0"/>
          <w:w w:val="100"/>
          <w:sz w:val="21"/>
          <w:szCs w:val="21"/>
          <w:lang w:val="en-US" w:eastAsia="zh-CN"/>
        </w:rPr>
        <w:drawing>
          <wp:inline distT="0" distB="0" distL="114300" distR="114300">
            <wp:extent cx="7439025" cy="4869180"/>
            <wp:effectExtent l="0" t="0" r="9525" b="7620"/>
            <wp:docPr id="108" name="图片 108" descr="6c7be22fc139050fba98a497d524d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6c7be22fc139050fba98a497d524daa"/>
                    <pic:cNvPicPr>
                      <a:picLocks noChangeAspect="1"/>
                    </pic:cNvPicPr>
                  </pic:nvPicPr>
                  <pic:blipFill>
                    <a:blip r:embed="rId7"/>
                    <a:stretch>
                      <a:fillRect/>
                    </a:stretch>
                  </pic:blipFill>
                  <pic:spPr>
                    <a:xfrm>
                      <a:off x="0" y="0"/>
                      <a:ext cx="7439025" cy="4869180"/>
                    </a:xfrm>
                    <a:prstGeom prst="rect">
                      <a:avLst/>
                    </a:prstGeom>
                  </pic:spPr>
                </pic:pic>
              </a:graphicData>
            </a:graphic>
          </wp:inline>
        </w:drawing>
      </w:r>
    </w:p>
    <w:p>
      <w:pPr>
        <w:jc w:val="center"/>
        <w:rPr>
          <w:rFonts w:hint="default" w:ascii="Times New Roman" w:hAnsi="Times New Roman" w:eastAsia="宋体"/>
          <w:color w:val="auto"/>
          <w:spacing w:val="0"/>
          <w:w w:val="100"/>
          <w:sz w:val="21"/>
          <w:szCs w:val="21"/>
          <w:lang w:val="en-US" w:eastAsia="zh-CN"/>
        </w:rPr>
      </w:pPr>
      <w:r>
        <w:rPr>
          <w:rFonts w:hint="eastAsia" w:ascii="Times New Roman" w:hAnsi="Times New Roman" w:eastAsia="宋体" w:cs="Times New Roman"/>
          <w:b/>
          <w:color w:val="auto"/>
          <w:spacing w:val="0"/>
          <w:w w:val="100"/>
          <w:sz w:val="21"/>
          <w:szCs w:val="21"/>
          <w:lang w:val="en-US" w:eastAsia="zh-CN"/>
        </w:rPr>
        <w:t>图2.2-3  地勘测定界图</w:t>
      </w:r>
    </w:p>
    <w:p>
      <w:pPr>
        <w:rPr>
          <w:rFonts w:hint="default"/>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ageBreakBefore w:val="0"/>
        <w:kinsoku/>
        <w:wordWrap/>
        <w:overflowPunct/>
        <w:topLinePunct w:val="0"/>
        <w:bidi w:val="0"/>
        <w:spacing w:line="360" w:lineRule="auto"/>
        <w:outlineLvl w:val="1"/>
        <w:rPr>
          <w:rFonts w:hint="default" w:ascii="Times New Roman" w:hAnsi="Times New Roman" w:eastAsia="宋体" w:cs="Times New Roman"/>
          <w:b/>
          <w:color w:val="auto"/>
          <w:spacing w:val="0"/>
          <w:w w:val="100"/>
          <w:sz w:val="28"/>
          <w:szCs w:val="28"/>
          <w:lang w:val="en-US" w:eastAsia="zh-CN"/>
        </w:rPr>
      </w:pPr>
      <w:bookmarkStart w:id="14" w:name="_Toc29516"/>
      <w:r>
        <w:rPr>
          <w:rFonts w:hint="default" w:ascii="Times New Roman" w:hAnsi="Times New Roman" w:eastAsia="宋体" w:cs="Times New Roman"/>
          <w:b/>
          <w:color w:val="auto"/>
          <w:spacing w:val="0"/>
          <w:w w:val="100"/>
          <w:sz w:val="28"/>
          <w:szCs w:val="28"/>
          <w:lang w:val="en-US" w:eastAsia="zh-CN"/>
        </w:rPr>
        <w:t>2</w:t>
      </w:r>
      <w:r>
        <w:rPr>
          <w:rFonts w:hint="eastAsia" w:ascii="Times New Roman" w:hAnsi="Times New Roman" w:eastAsia="宋体" w:cs="Times New Roman"/>
          <w:b/>
          <w:color w:val="auto"/>
          <w:spacing w:val="0"/>
          <w:w w:val="100"/>
          <w:sz w:val="28"/>
          <w:szCs w:val="28"/>
          <w:lang w:val="en-US" w:eastAsia="zh-CN"/>
        </w:rPr>
        <w:t>.3</w:t>
      </w:r>
      <w:r>
        <w:rPr>
          <w:rFonts w:hint="default" w:ascii="Times New Roman" w:hAnsi="Times New Roman" w:eastAsia="宋体" w:cs="Times New Roman"/>
          <w:b/>
          <w:color w:val="auto"/>
          <w:spacing w:val="0"/>
          <w:w w:val="100"/>
          <w:sz w:val="28"/>
          <w:szCs w:val="28"/>
          <w:lang w:val="en-US" w:eastAsia="zh-CN"/>
        </w:rPr>
        <w:t xml:space="preserve"> 调查依据</w:t>
      </w:r>
      <w:bookmarkEnd w:id="10"/>
      <w:bookmarkEnd w:id="14"/>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宋体" w:cs="Times New Roman"/>
          <w:b/>
          <w:spacing w:val="0"/>
          <w:w w:val="100"/>
          <w:sz w:val="24"/>
          <w:szCs w:val="24"/>
          <w:lang w:val="en-US" w:eastAsia="zh-CN"/>
        </w:rPr>
      </w:pPr>
      <w:bookmarkStart w:id="15" w:name="_Toc4655"/>
      <w:bookmarkStart w:id="16" w:name="_Toc10657"/>
      <w:r>
        <w:rPr>
          <w:rFonts w:hint="default" w:ascii="Times New Roman" w:hAnsi="Times New Roman" w:eastAsia="宋体" w:cs="Times New Roman"/>
          <w:b/>
          <w:spacing w:val="0"/>
          <w:w w:val="100"/>
          <w:sz w:val="24"/>
          <w:szCs w:val="24"/>
          <w:lang w:val="en-US" w:eastAsia="zh-CN"/>
        </w:rPr>
        <w:t>2</w:t>
      </w:r>
      <w:r>
        <w:rPr>
          <w:rFonts w:hint="eastAsia" w:ascii="Times New Roman" w:hAnsi="Times New Roman" w:eastAsia="宋体" w:cs="Times New Roman"/>
          <w:b/>
          <w:spacing w:val="0"/>
          <w:w w:val="100"/>
          <w:sz w:val="24"/>
          <w:szCs w:val="24"/>
          <w:lang w:val="en-US" w:eastAsia="zh-CN"/>
        </w:rPr>
        <w:t>.3.</w:t>
      </w:r>
      <w:r>
        <w:rPr>
          <w:rFonts w:hint="default" w:ascii="Times New Roman" w:hAnsi="Times New Roman" w:eastAsia="宋体" w:cs="Times New Roman"/>
          <w:b/>
          <w:spacing w:val="0"/>
          <w:w w:val="100"/>
          <w:sz w:val="24"/>
          <w:szCs w:val="24"/>
          <w:lang w:val="en-US" w:eastAsia="zh-CN"/>
        </w:rPr>
        <w:t xml:space="preserve">1 </w:t>
      </w:r>
      <w:r>
        <w:rPr>
          <w:rFonts w:hint="default" w:ascii="Times New Roman" w:hAnsi="Times New Roman" w:eastAsia="宋体" w:cs="Times New Roman"/>
          <w:b/>
          <w:spacing w:val="0"/>
          <w:w w:val="100"/>
          <w:sz w:val="24"/>
          <w:szCs w:val="24"/>
        </w:rPr>
        <w:t>法律法规</w:t>
      </w:r>
      <w:bookmarkEnd w:id="11"/>
      <w:bookmarkEnd w:id="12"/>
      <w:bookmarkEnd w:id="15"/>
      <w:bookmarkEnd w:id="16"/>
      <w:bookmarkStart w:id="17" w:name="_Toc13574760"/>
    </w:p>
    <w:bookmarkEnd w:id="17"/>
    <w:p>
      <w:pPr>
        <w:pStyle w:val="5"/>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spacing w:val="0"/>
          <w:w w:val="100"/>
          <w:sz w:val="24"/>
          <w:szCs w:val="24"/>
        </w:rPr>
      </w:pPr>
      <w:r>
        <w:rPr>
          <w:rFonts w:hint="default" w:ascii="Times New Roman" w:hAnsi="Times New Roman" w:eastAsia="宋体" w:cs="Times New Roman"/>
          <w:spacing w:val="0"/>
          <w:w w:val="100"/>
          <w:sz w:val="24"/>
          <w:szCs w:val="24"/>
        </w:rPr>
        <w:t>1、《中华人民共和国环境保护法》（2014年修订）；</w:t>
      </w:r>
    </w:p>
    <w:p>
      <w:pPr>
        <w:pStyle w:val="5"/>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spacing w:val="0"/>
          <w:w w:val="100"/>
          <w:sz w:val="24"/>
          <w:szCs w:val="24"/>
        </w:rPr>
      </w:pPr>
      <w:r>
        <w:rPr>
          <w:rFonts w:hint="default" w:ascii="Times New Roman" w:hAnsi="Times New Roman" w:eastAsia="宋体" w:cs="Times New Roman"/>
          <w:spacing w:val="0"/>
          <w:w w:val="100"/>
          <w:sz w:val="24"/>
          <w:szCs w:val="24"/>
        </w:rPr>
        <w:t>2、《中华人民共和国固体废物污染防治法》（20</w:t>
      </w:r>
      <w:r>
        <w:rPr>
          <w:rFonts w:hint="default" w:ascii="Times New Roman" w:hAnsi="Times New Roman" w:eastAsia="宋体" w:cs="Times New Roman"/>
          <w:spacing w:val="0"/>
          <w:w w:val="100"/>
          <w:sz w:val="24"/>
          <w:szCs w:val="24"/>
          <w:lang w:val="en-US" w:eastAsia="zh-CN"/>
        </w:rPr>
        <w:t>20</w:t>
      </w:r>
      <w:r>
        <w:rPr>
          <w:rFonts w:hint="default" w:ascii="Times New Roman" w:hAnsi="Times New Roman" w:eastAsia="宋体" w:cs="Times New Roman"/>
          <w:spacing w:val="0"/>
          <w:w w:val="100"/>
          <w:sz w:val="24"/>
          <w:szCs w:val="24"/>
        </w:rPr>
        <w:t>年</w:t>
      </w:r>
      <w:r>
        <w:rPr>
          <w:rFonts w:hint="default" w:ascii="Times New Roman" w:hAnsi="Times New Roman" w:eastAsia="宋体" w:cs="Times New Roman"/>
          <w:spacing w:val="0"/>
          <w:w w:val="100"/>
          <w:sz w:val="24"/>
          <w:szCs w:val="24"/>
          <w:lang w:val="en-US" w:eastAsia="zh-CN"/>
        </w:rPr>
        <w:t>9</w:t>
      </w:r>
      <w:r>
        <w:rPr>
          <w:rFonts w:hint="default" w:ascii="Times New Roman" w:hAnsi="Times New Roman" w:eastAsia="宋体" w:cs="Times New Roman"/>
          <w:spacing w:val="0"/>
          <w:w w:val="100"/>
          <w:sz w:val="24"/>
          <w:szCs w:val="24"/>
        </w:rPr>
        <w:t>月</w:t>
      </w:r>
      <w:r>
        <w:rPr>
          <w:rFonts w:hint="default" w:ascii="Times New Roman" w:hAnsi="Times New Roman" w:eastAsia="宋体" w:cs="Times New Roman"/>
          <w:spacing w:val="0"/>
          <w:w w:val="100"/>
          <w:sz w:val="24"/>
          <w:szCs w:val="24"/>
          <w:lang w:val="en-US" w:eastAsia="zh-CN"/>
        </w:rPr>
        <w:t>1</w:t>
      </w:r>
      <w:r>
        <w:rPr>
          <w:rFonts w:hint="default" w:ascii="Times New Roman" w:hAnsi="Times New Roman" w:eastAsia="宋体" w:cs="Times New Roman"/>
          <w:spacing w:val="0"/>
          <w:w w:val="100"/>
          <w:sz w:val="24"/>
          <w:szCs w:val="24"/>
        </w:rPr>
        <w:t>日）；</w:t>
      </w:r>
    </w:p>
    <w:p>
      <w:pPr>
        <w:pStyle w:val="5"/>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spacing w:val="0"/>
          <w:w w:val="100"/>
          <w:sz w:val="24"/>
          <w:szCs w:val="24"/>
        </w:rPr>
      </w:pPr>
      <w:r>
        <w:rPr>
          <w:rFonts w:hint="default" w:ascii="Times New Roman" w:hAnsi="Times New Roman" w:eastAsia="宋体" w:cs="Times New Roman"/>
          <w:spacing w:val="0"/>
          <w:w w:val="100"/>
          <w:sz w:val="24"/>
          <w:szCs w:val="24"/>
        </w:rPr>
        <w:t>3、《中华人民共和国水污染防治法》(2018年1月1日)；</w:t>
      </w:r>
    </w:p>
    <w:p>
      <w:pPr>
        <w:pStyle w:val="5"/>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spacing w:val="0"/>
          <w:w w:val="100"/>
          <w:sz w:val="24"/>
          <w:szCs w:val="24"/>
        </w:rPr>
      </w:pPr>
      <w:r>
        <w:rPr>
          <w:rFonts w:hint="default" w:ascii="Times New Roman" w:hAnsi="Times New Roman" w:eastAsia="宋体" w:cs="Times New Roman"/>
          <w:spacing w:val="0"/>
          <w:w w:val="100"/>
          <w:sz w:val="24"/>
          <w:szCs w:val="24"/>
        </w:rPr>
        <w:t>4、《中华人民共和国大气污染防治法》（2018年修订）；</w:t>
      </w:r>
    </w:p>
    <w:p>
      <w:pPr>
        <w:pStyle w:val="5"/>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spacing w:val="0"/>
          <w:w w:val="100"/>
          <w:sz w:val="24"/>
          <w:szCs w:val="24"/>
        </w:rPr>
      </w:pPr>
      <w:r>
        <w:rPr>
          <w:rFonts w:hint="default" w:ascii="Times New Roman" w:hAnsi="Times New Roman" w:eastAsia="宋体" w:cs="Times New Roman"/>
          <w:spacing w:val="0"/>
          <w:w w:val="100"/>
          <w:sz w:val="24"/>
          <w:szCs w:val="24"/>
        </w:rPr>
        <w:t>5、《中华人民共和国土壤污染防治法》（2019年1月1日）；</w:t>
      </w:r>
    </w:p>
    <w:p>
      <w:pPr>
        <w:pStyle w:val="5"/>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spacing w:val="0"/>
          <w:w w:val="100"/>
          <w:sz w:val="24"/>
          <w:szCs w:val="24"/>
          <w:lang w:eastAsia="zh-CN"/>
        </w:rPr>
      </w:pPr>
      <w:r>
        <w:rPr>
          <w:rFonts w:hint="default" w:ascii="Times New Roman" w:hAnsi="Times New Roman" w:eastAsia="宋体" w:cs="Times New Roman"/>
          <w:spacing w:val="0"/>
          <w:w w:val="100"/>
          <w:sz w:val="24"/>
          <w:szCs w:val="24"/>
        </w:rPr>
        <w:t>6、《中华人民共和国突发事件应对法》（主席令2007年第69号）。</w:t>
      </w:r>
    </w:p>
    <w:p>
      <w:pPr>
        <w:pStyle w:val="15"/>
        <w:keepNext w:val="0"/>
        <w:keepLines w:val="0"/>
        <w:pageBreakBefore w:val="0"/>
        <w:widowControl w:val="0"/>
        <w:numPr>
          <w:ilvl w:val="0"/>
          <w:numId w:val="0"/>
        </w:numPr>
        <w:tabs>
          <w:tab w:val="left" w:pos="1125"/>
        </w:tabs>
        <w:kinsoku/>
        <w:wordWrap/>
        <w:overflowPunct/>
        <w:topLinePunct w:val="0"/>
        <w:autoSpaceDE/>
        <w:autoSpaceDN/>
        <w:bidi w:val="0"/>
        <w:adjustRightInd/>
        <w:snapToGrid/>
        <w:spacing w:after="0" w:line="360" w:lineRule="auto"/>
        <w:ind w:right="0" w:rightChars="0"/>
        <w:jc w:val="both"/>
        <w:textAlignment w:val="auto"/>
        <w:outlineLvl w:val="2"/>
        <w:rPr>
          <w:rFonts w:hint="default" w:ascii="Times New Roman" w:hAnsi="Times New Roman" w:eastAsia="宋体" w:cs="Times New Roman"/>
          <w:b/>
          <w:bCs/>
          <w:spacing w:val="0"/>
          <w:w w:val="100"/>
          <w:sz w:val="24"/>
          <w:szCs w:val="24"/>
          <w:lang w:eastAsia="zh-CN"/>
        </w:rPr>
      </w:pPr>
      <w:bookmarkStart w:id="18" w:name="_Toc19643"/>
      <w:bookmarkStart w:id="19" w:name="_Toc29658"/>
      <w:r>
        <w:rPr>
          <w:rFonts w:hint="default" w:ascii="Times New Roman" w:hAnsi="Times New Roman" w:eastAsia="宋体" w:cs="Times New Roman"/>
          <w:b/>
          <w:bCs/>
          <w:spacing w:val="0"/>
          <w:w w:val="100"/>
          <w:sz w:val="24"/>
          <w:szCs w:val="24"/>
          <w:lang w:val="en-US" w:eastAsia="zh-CN"/>
        </w:rPr>
        <w:t>2</w:t>
      </w:r>
      <w:r>
        <w:rPr>
          <w:rFonts w:hint="eastAsia" w:ascii="Times New Roman" w:hAnsi="Times New Roman" w:cs="Times New Roman"/>
          <w:b/>
          <w:bCs/>
          <w:spacing w:val="0"/>
          <w:w w:val="100"/>
          <w:sz w:val="24"/>
          <w:szCs w:val="24"/>
          <w:lang w:val="en-US" w:eastAsia="zh-CN"/>
        </w:rPr>
        <w:t>.</w:t>
      </w:r>
      <w:r>
        <w:rPr>
          <w:rFonts w:hint="eastAsia" w:ascii="Times New Roman" w:hAnsi="Times New Roman" w:eastAsia="宋体" w:cs="Times New Roman"/>
          <w:b/>
          <w:bCs/>
          <w:spacing w:val="0"/>
          <w:w w:val="100"/>
          <w:sz w:val="24"/>
          <w:szCs w:val="24"/>
          <w:lang w:val="en-US" w:eastAsia="zh-CN"/>
        </w:rPr>
        <w:t>3</w:t>
      </w:r>
      <w:r>
        <w:rPr>
          <w:rFonts w:hint="eastAsia" w:ascii="Times New Roman" w:hAnsi="Times New Roman" w:cs="Times New Roman"/>
          <w:b/>
          <w:bCs/>
          <w:spacing w:val="0"/>
          <w:w w:val="100"/>
          <w:sz w:val="24"/>
          <w:szCs w:val="24"/>
          <w:lang w:val="en-US" w:eastAsia="zh-CN"/>
        </w:rPr>
        <w:t>.</w:t>
      </w:r>
      <w:r>
        <w:rPr>
          <w:rFonts w:hint="default" w:ascii="Times New Roman" w:hAnsi="Times New Roman" w:eastAsia="宋体" w:cs="Times New Roman"/>
          <w:b/>
          <w:bCs/>
          <w:spacing w:val="0"/>
          <w:w w:val="100"/>
          <w:sz w:val="24"/>
          <w:szCs w:val="24"/>
          <w:lang w:val="en-US" w:eastAsia="zh-CN"/>
        </w:rPr>
        <w:t xml:space="preserve">2 </w:t>
      </w:r>
      <w:r>
        <w:rPr>
          <w:rFonts w:hint="default" w:ascii="Times New Roman" w:hAnsi="Times New Roman" w:eastAsia="宋体" w:cs="Times New Roman"/>
          <w:b/>
          <w:bCs/>
          <w:spacing w:val="0"/>
          <w:w w:val="100"/>
          <w:sz w:val="24"/>
          <w:szCs w:val="24"/>
        </w:rPr>
        <w:t>规章及规范性文件</w:t>
      </w:r>
      <w:bookmarkEnd w:id="18"/>
      <w:bookmarkEnd w:id="19"/>
    </w:p>
    <w:p>
      <w:pPr>
        <w:pStyle w:val="5"/>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snapToGrid w:val="0"/>
          <w:spacing w:val="0"/>
          <w:w w:val="100"/>
          <w:kern w:val="0"/>
          <w:sz w:val="24"/>
          <w:szCs w:val="24"/>
        </w:rPr>
      </w:pPr>
      <w:r>
        <w:rPr>
          <w:rFonts w:hint="default" w:ascii="Times New Roman" w:hAnsi="Times New Roman" w:eastAsia="宋体" w:cs="Times New Roman"/>
          <w:snapToGrid w:val="0"/>
          <w:spacing w:val="0"/>
          <w:w w:val="100"/>
          <w:kern w:val="0"/>
          <w:sz w:val="24"/>
          <w:szCs w:val="24"/>
        </w:rPr>
        <w:t>1、《土壤污染防治行动计划实施情况评估考核规定（试行）》（环土壤[2018]41号）；</w:t>
      </w:r>
    </w:p>
    <w:p>
      <w:pPr>
        <w:pStyle w:val="5"/>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snapToGrid w:val="0"/>
          <w:spacing w:val="0"/>
          <w:w w:val="100"/>
          <w:kern w:val="0"/>
          <w:sz w:val="24"/>
          <w:szCs w:val="24"/>
        </w:rPr>
      </w:pPr>
      <w:r>
        <w:rPr>
          <w:rFonts w:hint="default" w:ascii="Times New Roman" w:hAnsi="Times New Roman" w:eastAsia="宋体" w:cs="Times New Roman"/>
          <w:snapToGrid w:val="0"/>
          <w:spacing w:val="0"/>
          <w:w w:val="100"/>
          <w:kern w:val="0"/>
          <w:sz w:val="24"/>
          <w:szCs w:val="24"/>
        </w:rPr>
        <w:t>2、《关于印发全国土壤污染状况详查样品分析测试方法系列技术规定的通知》（环办土壤函[2017]1625号）；</w:t>
      </w:r>
    </w:p>
    <w:p>
      <w:pPr>
        <w:pStyle w:val="5"/>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snapToGrid w:val="0"/>
          <w:spacing w:val="0"/>
          <w:w w:val="100"/>
          <w:kern w:val="0"/>
          <w:sz w:val="24"/>
          <w:szCs w:val="24"/>
        </w:rPr>
      </w:pPr>
      <w:r>
        <w:rPr>
          <w:rFonts w:hint="default" w:ascii="Times New Roman" w:hAnsi="Times New Roman" w:eastAsia="宋体" w:cs="Times New Roman"/>
          <w:snapToGrid w:val="0"/>
          <w:spacing w:val="0"/>
          <w:w w:val="100"/>
          <w:kern w:val="0"/>
          <w:sz w:val="24"/>
          <w:szCs w:val="24"/>
        </w:rPr>
        <w:t>3、《工矿用地土壤环境管理办法（试行）》（部令第3号）；</w:t>
      </w:r>
    </w:p>
    <w:p>
      <w:pPr>
        <w:pStyle w:val="5"/>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snapToGrid w:val="0"/>
          <w:spacing w:val="0"/>
          <w:w w:val="100"/>
          <w:kern w:val="0"/>
          <w:sz w:val="24"/>
          <w:szCs w:val="24"/>
        </w:rPr>
      </w:pPr>
      <w:r>
        <w:rPr>
          <w:rFonts w:hint="default" w:ascii="Times New Roman" w:hAnsi="Times New Roman" w:eastAsia="宋体" w:cs="Times New Roman"/>
          <w:snapToGrid w:val="0"/>
          <w:spacing w:val="0"/>
          <w:w w:val="100"/>
          <w:kern w:val="0"/>
          <w:sz w:val="24"/>
          <w:szCs w:val="24"/>
        </w:rPr>
        <w:t>4、《污染地块土壤环境管理办法（试行）》（环保部令第42号，2017年7月1日施行）；</w:t>
      </w:r>
    </w:p>
    <w:p>
      <w:pPr>
        <w:pStyle w:val="5"/>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snapToGrid w:val="0"/>
          <w:spacing w:val="0"/>
          <w:w w:val="100"/>
          <w:kern w:val="0"/>
          <w:sz w:val="24"/>
          <w:szCs w:val="24"/>
        </w:rPr>
      </w:pPr>
      <w:r>
        <w:rPr>
          <w:rFonts w:hint="default" w:ascii="Times New Roman" w:hAnsi="Times New Roman" w:eastAsia="宋体" w:cs="Times New Roman"/>
          <w:snapToGrid w:val="0"/>
          <w:spacing w:val="0"/>
          <w:w w:val="100"/>
          <w:kern w:val="0"/>
          <w:sz w:val="24"/>
          <w:szCs w:val="24"/>
        </w:rPr>
        <w:t>5、《建设用地土壤污染状况调查、风险评估、风险管控及修复效果评估报告评审指南》（环办土壤[2019]63号）；</w:t>
      </w:r>
    </w:p>
    <w:p>
      <w:pPr>
        <w:pStyle w:val="5"/>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snapToGrid w:val="0"/>
          <w:spacing w:val="0"/>
          <w:w w:val="100"/>
          <w:kern w:val="0"/>
          <w:sz w:val="24"/>
          <w:szCs w:val="24"/>
        </w:rPr>
      </w:pPr>
      <w:r>
        <w:rPr>
          <w:rFonts w:hint="default" w:ascii="Times New Roman" w:hAnsi="Times New Roman" w:eastAsia="宋体" w:cs="Times New Roman"/>
          <w:snapToGrid w:val="0"/>
          <w:spacing w:val="0"/>
          <w:w w:val="100"/>
          <w:kern w:val="0"/>
          <w:sz w:val="24"/>
          <w:szCs w:val="24"/>
        </w:rPr>
        <w:t>6、《关于印发山东省土壤污染防治工作方案的通知》（山东省人民政府鲁政发〔2016〕37号）；</w:t>
      </w:r>
    </w:p>
    <w:p>
      <w:pPr>
        <w:pStyle w:val="5"/>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snapToGrid w:val="0"/>
          <w:spacing w:val="0"/>
          <w:w w:val="100"/>
          <w:kern w:val="0"/>
          <w:sz w:val="24"/>
          <w:szCs w:val="24"/>
        </w:rPr>
      </w:pPr>
      <w:r>
        <w:rPr>
          <w:rFonts w:hint="eastAsia" w:ascii="Times New Roman" w:hAnsi="Times New Roman" w:cs="Times New Roman"/>
          <w:snapToGrid w:val="0"/>
          <w:spacing w:val="0"/>
          <w:w w:val="100"/>
          <w:kern w:val="0"/>
          <w:sz w:val="24"/>
          <w:szCs w:val="24"/>
          <w:lang w:val="en-US" w:eastAsia="zh-CN"/>
        </w:rPr>
        <w:t>7</w:t>
      </w:r>
      <w:r>
        <w:rPr>
          <w:rFonts w:hint="default" w:ascii="Times New Roman" w:hAnsi="Times New Roman" w:eastAsia="宋体" w:cs="Times New Roman"/>
          <w:snapToGrid w:val="0"/>
          <w:spacing w:val="0"/>
          <w:w w:val="100"/>
          <w:kern w:val="0"/>
          <w:sz w:val="24"/>
          <w:szCs w:val="24"/>
        </w:rPr>
        <w:t>、《关于做好山东省建设用地污染地块再开发利用管理工作的通知》（鲁环发[2019]129号）；</w:t>
      </w:r>
    </w:p>
    <w:p>
      <w:pPr>
        <w:pStyle w:val="5"/>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snapToGrid w:val="0"/>
          <w:spacing w:val="0"/>
          <w:w w:val="100"/>
          <w:kern w:val="0"/>
          <w:sz w:val="24"/>
          <w:szCs w:val="24"/>
        </w:rPr>
      </w:pPr>
      <w:r>
        <w:rPr>
          <w:rFonts w:hint="eastAsia" w:ascii="Times New Roman" w:hAnsi="Times New Roman" w:cs="Times New Roman"/>
          <w:snapToGrid w:val="0"/>
          <w:spacing w:val="0"/>
          <w:w w:val="100"/>
          <w:kern w:val="0"/>
          <w:sz w:val="24"/>
          <w:szCs w:val="24"/>
          <w:lang w:val="en-US" w:eastAsia="zh-CN"/>
        </w:rPr>
        <w:t>8</w:t>
      </w:r>
      <w:r>
        <w:rPr>
          <w:rFonts w:hint="default" w:ascii="Times New Roman" w:hAnsi="Times New Roman" w:eastAsia="宋体" w:cs="Times New Roman"/>
          <w:snapToGrid w:val="0"/>
          <w:spacing w:val="0"/>
          <w:w w:val="100"/>
          <w:kern w:val="0"/>
          <w:sz w:val="24"/>
          <w:szCs w:val="24"/>
        </w:rPr>
        <w:t>、</w:t>
      </w:r>
      <w:r>
        <w:rPr>
          <w:rFonts w:hint="eastAsia" w:ascii="Times New Roman" w:hAnsi="Times New Roman" w:eastAsia="宋体" w:cs="Times New Roman"/>
          <w:snapToGrid w:val="0"/>
          <w:spacing w:val="0"/>
          <w:w w:val="100"/>
          <w:kern w:val="0"/>
          <w:sz w:val="24"/>
          <w:szCs w:val="24"/>
          <w:lang w:val="en-US" w:eastAsia="zh-CN"/>
        </w:rPr>
        <w:t>《</w:t>
      </w:r>
      <w:r>
        <w:rPr>
          <w:rFonts w:hint="default" w:ascii="Times New Roman" w:hAnsi="Times New Roman" w:eastAsia="宋体" w:cs="Times New Roman"/>
          <w:snapToGrid w:val="0"/>
          <w:spacing w:val="0"/>
          <w:w w:val="100"/>
          <w:kern w:val="0"/>
          <w:sz w:val="24"/>
          <w:szCs w:val="24"/>
        </w:rPr>
        <w:t>山东省生态环境厅 山东省自然资源厅关于加强建设用地土壤污染风险管控和修复管理工作的通知</w:t>
      </w:r>
      <w:r>
        <w:rPr>
          <w:rFonts w:hint="eastAsia" w:ascii="Times New Roman" w:hAnsi="Times New Roman" w:eastAsia="宋体" w:cs="Times New Roman"/>
          <w:snapToGrid w:val="0"/>
          <w:spacing w:val="0"/>
          <w:w w:val="100"/>
          <w:kern w:val="0"/>
          <w:sz w:val="24"/>
          <w:szCs w:val="24"/>
          <w:lang w:val="en-US" w:eastAsia="zh-CN"/>
        </w:rPr>
        <w:t>》（鲁环发</w:t>
      </w:r>
      <w:r>
        <w:rPr>
          <w:rFonts w:hint="default" w:ascii="Times New Roman" w:hAnsi="Times New Roman" w:eastAsia="宋体" w:cs="Times New Roman"/>
          <w:snapToGrid w:val="0"/>
          <w:spacing w:val="0"/>
          <w:w w:val="100"/>
          <w:kern w:val="0"/>
          <w:sz w:val="24"/>
          <w:szCs w:val="24"/>
        </w:rPr>
        <w:t>〔20</w:t>
      </w:r>
      <w:r>
        <w:rPr>
          <w:rFonts w:hint="eastAsia" w:ascii="Times New Roman" w:hAnsi="Times New Roman" w:eastAsia="宋体" w:cs="Times New Roman"/>
          <w:snapToGrid w:val="0"/>
          <w:spacing w:val="0"/>
          <w:w w:val="100"/>
          <w:kern w:val="0"/>
          <w:sz w:val="24"/>
          <w:szCs w:val="24"/>
          <w:lang w:val="en-US" w:eastAsia="zh-CN"/>
        </w:rPr>
        <w:t>20</w:t>
      </w:r>
      <w:r>
        <w:rPr>
          <w:rFonts w:hint="default" w:ascii="Times New Roman" w:hAnsi="Times New Roman" w:eastAsia="宋体" w:cs="Times New Roman"/>
          <w:snapToGrid w:val="0"/>
          <w:spacing w:val="0"/>
          <w:w w:val="100"/>
          <w:kern w:val="0"/>
          <w:sz w:val="24"/>
          <w:szCs w:val="24"/>
        </w:rPr>
        <w:t>〕</w:t>
      </w:r>
      <w:r>
        <w:rPr>
          <w:rFonts w:hint="eastAsia" w:ascii="Times New Roman" w:hAnsi="Times New Roman" w:eastAsia="宋体" w:cs="Times New Roman"/>
          <w:snapToGrid w:val="0"/>
          <w:spacing w:val="0"/>
          <w:w w:val="100"/>
          <w:kern w:val="0"/>
          <w:sz w:val="24"/>
          <w:szCs w:val="24"/>
          <w:lang w:val="en-US" w:eastAsia="zh-CN"/>
        </w:rPr>
        <w:t>4号）</w:t>
      </w:r>
      <w:r>
        <w:rPr>
          <w:rFonts w:hint="eastAsia" w:ascii="Times New Roman" w:hAnsi="Times New Roman" w:cs="Times New Roman"/>
          <w:snapToGrid w:val="0"/>
          <w:spacing w:val="0"/>
          <w:w w:val="100"/>
          <w:kern w:val="0"/>
          <w:sz w:val="24"/>
          <w:szCs w:val="24"/>
          <w:lang w:val="en-US" w:eastAsia="zh-CN"/>
        </w:rPr>
        <w:t>；</w:t>
      </w:r>
    </w:p>
    <w:p>
      <w:pPr>
        <w:pStyle w:val="5"/>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eastAsia" w:ascii="Times New Roman" w:hAnsi="Times New Roman" w:eastAsia="宋体" w:cs="Times New Roman"/>
          <w:snapToGrid w:val="0"/>
          <w:spacing w:val="0"/>
          <w:w w:val="100"/>
          <w:kern w:val="0"/>
          <w:sz w:val="24"/>
          <w:szCs w:val="24"/>
          <w:lang w:eastAsia="zh-CN"/>
        </w:rPr>
      </w:pPr>
      <w:r>
        <w:rPr>
          <w:rFonts w:hint="eastAsia" w:ascii="Times New Roman" w:hAnsi="Times New Roman" w:cs="Times New Roman"/>
          <w:snapToGrid w:val="0"/>
          <w:spacing w:val="0"/>
          <w:w w:val="100"/>
          <w:kern w:val="0"/>
          <w:sz w:val="24"/>
          <w:szCs w:val="24"/>
          <w:lang w:val="en-US" w:eastAsia="zh-CN"/>
        </w:rPr>
        <w:t>9</w:t>
      </w:r>
      <w:r>
        <w:rPr>
          <w:rFonts w:hint="default" w:ascii="Times New Roman" w:hAnsi="Times New Roman" w:eastAsia="宋体" w:cs="Times New Roman"/>
          <w:snapToGrid w:val="0"/>
          <w:spacing w:val="0"/>
          <w:w w:val="100"/>
          <w:kern w:val="0"/>
          <w:sz w:val="24"/>
          <w:szCs w:val="24"/>
        </w:rPr>
        <w:t>、《关于加强全市建设用地土壤环境管理工作的通知》（临环发[2020]19号）</w:t>
      </w:r>
      <w:r>
        <w:rPr>
          <w:rFonts w:hint="eastAsia" w:ascii="Times New Roman" w:hAnsi="Times New Roman" w:cs="Times New Roman"/>
          <w:snapToGrid w:val="0"/>
          <w:spacing w:val="0"/>
          <w:w w:val="100"/>
          <w:kern w:val="0"/>
          <w:sz w:val="24"/>
          <w:szCs w:val="24"/>
          <w:lang w:eastAsia="zh-CN"/>
        </w:rPr>
        <w:t>；</w:t>
      </w:r>
    </w:p>
    <w:p>
      <w:pPr>
        <w:pStyle w:val="5"/>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eastAsia" w:ascii="Times New Roman" w:hAnsi="Times New Roman" w:eastAsia="宋体" w:cs="Times New Roman"/>
          <w:snapToGrid w:val="0"/>
          <w:spacing w:val="0"/>
          <w:w w:val="100"/>
          <w:kern w:val="0"/>
          <w:sz w:val="24"/>
          <w:szCs w:val="24"/>
          <w:lang w:eastAsia="zh-CN"/>
        </w:rPr>
      </w:pPr>
      <w:r>
        <w:rPr>
          <w:rFonts w:hint="default" w:ascii="Times New Roman" w:hAnsi="Times New Roman" w:eastAsia="宋体" w:cs="Times New Roman"/>
          <w:snapToGrid w:val="0"/>
          <w:spacing w:val="0"/>
          <w:w w:val="100"/>
          <w:kern w:val="0"/>
          <w:sz w:val="24"/>
          <w:szCs w:val="24"/>
        </w:rPr>
        <w:t>1</w:t>
      </w:r>
      <w:r>
        <w:rPr>
          <w:rFonts w:hint="eastAsia" w:ascii="Times New Roman" w:hAnsi="Times New Roman" w:cs="Times New Roman"/>
          <w:snapToGrid w:val="0"/>
          <w:spacing w:val="0"/>
          <w:w w:val="100"/>
          <w:kern w:val="0"/>
          <w:sz w:val="24"/>
          <w:szCs w:val="24"/>
          <w:lang w:val="en-US" w:eastAsia="zh-CN"/>
        </w:rPr>
        <w:t>0</w:t>
      </w:r>
      <w:r>
        <w:rPr>
          <w:rFonts w:hint="default" w:ascii="Times New Roman" w:hAnsi="Times New Roman" w:eastAsia="宋体" w:cs="Times New Roman"/>
          <w:snapToGrid w:val="0"/>
          <w:spacing w:val="0"/>
          <w:w w:val="100"/>
          <w:kern w:val="0"/>
          <w:sz w:val="24"/>
          <w:szCs w:val="24"/>
        </w:rPr>
        <w:t>、</w:t>
      </w:r>
      <w:r>
        <w:rPr>
          <w:rFonts w:hint="eastAsia" w:ascii="Times New Roman" w:hAnsi="Times New Roman" w:cs="Times New Roman"/>
          <w:snapToGrid w:val="0"/>
          <w:spacing w:val="0"/>
          <w:kern w:val="0"/>
          <w:sz w:val="24"/>
          <w:szCs w:val="24"/>
          <w:lang w:val="en-US"/>
        </w:rPr>
        <w:t>《土壤污染防治行动计划》（国务院，2016年5月31日）</w:t>
      </w:r>
      <w:r>
        <w:rPr>
          <w:rFonts w:hint="eastAsia" w:ascii="Times New Roman" w:hAnsi="Times New Roman" w:cs="Times New Roman"/>
          <w:snapToGrid w:val="0"/>
          <w:spacing w:val="0"/>
          <w:kern w:val="0"/>
          <w:sz w:val="24"/>
          <w:szCs w:val="24"/>
          <w:lang w:val="en-US" w:eastAsia="zh-CN"/>
        </w:rPr>
        <w:t>；</w:t>
      </w:r>
    </w:p>
    <w:p>
      <w:pPr>
        <w:pStyle w:val="5"/>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spacing w:val="0"/>
          <w:w w:val="100"/>
          <w:sz w:val="24"/>
          <w:szCs w:val="24"/>
        </w:rPr>
      </w:pPr>
      <w:r>
        <w:rPr>
          <w:rFonts w:hint="eastAsia" w:ascii="Times New Roman" w:hAnsi="Times New Roman" w:eastAsia="宋体" w:cs="Times New Roman"/>
          <w:spacing w:val="0"/>
          <w:w w:val="100"/>
          <w:sz w:val="24"/>
          <w:szCs w:val="24"/>
          <w:lang w:val="en-US" w:eastAsia="zh-CN"/>
        </w:rPr>
        <w:t>1</w:t>
      </w:r>
      <w:r>
        <w:rPr>
          <w:rFonts w:hint="eastAsia" w:ascii="Times New Roman" w:hAnsi="Times New Roman" w:cs="Times New Roman"/>
          <w:spacing w:val="0"/>
          <w:w w:val="100"/>
          <w:sz w:val="24"/>
          <w:szCs w:val="24"/>
          <w:lang w:val="en-US" w:eastAsia="zh-CN"/>
        </w:rPr>
        <w:t>1</w:t>
      </w:r>
      <w:r>
        <w:rPr>
          <w:rFonts w:hint="eastAsia" w:ascii="Times New Roman" w:hAnsi="Times New Roman" w:eastAsia="宋体" w:cs="Times New Roman"/>
          <w:spacing w:val="0"/>
          <w:w w:val="100"/>
          <w:sz w:val="24"/>
          <w:szCs w:val="24"/>
          <w:lang w:val="en-US" w:eastAsia="zh-CN"/>
        </w:rPr>
        <w:t>、</w:t>
      </w:r>
      <w:r>
        <w:rPr>
          <w:rFonts w:hint="eastAsia" w:ascii="Times New Roman" w:hAnsi="Times New Roman" w:cs="Times New Roman"/>
          <w:spacing w:val="0"/>
          <w:sz w:val="24"/>
          <w:szCs w:val="24"/>
          <w:lang w:val="en-US" w:eastAsia="zh-CN"/>
        </w:rPr>
        <w:t>《临沂市生态环境局关于进一步加强重点建设用地土壤环境管理工作的通知》（临环函</w:t>
      </w:r>
      <w:r>
        <w:rPr>
          <w:rFonts w:hint="default" w:ascii="Times New Roman" w:hAnsi="Times New Roman" w:eastAsia="宋体" w:cs="Times New Roman"/>
          <w:spacing w:val="0"/>
          <w:sz w:val="24"/>
          <w:szCs w:val="24"/>
          <w:highlight w:val="none"/>
        </w:rPr>
        <w:t>〔20</w:t>
      </w:r>
      <w:r>
        <w:rPr>
          <w:rFonts w:hint="default" w:ascii="Times New Roman" w:hAnsi="Times New Roman" w:eastAsia="宋体" w:cs="Times New Roman"/>
          <w:spacing w:val="0"/>
          <w:sz w:val="24"/>
          <w:szCs w:val="24"/>
          <w:highlight w:val="none"/>
          <w:lang w:val="en-US" w:eastAsia="zh-CN"/>
        </w:rPr>
        <w:t>2</w:t>
      </w:r>
      <w:r>
        <w:rPr>
          <w:rFonts w:hint="eastAsia" w:ascii="Times New Roman" w:hAnsi="Times New Roman" w:cs="Times New Roman"/>
          <w:spacing w:val="0"/>
          <w:sz w:val="24"/>
          <w:szCs w:val="24"/>
          <w:highlight w:val="none"/>
          <w:lang w:val="en-US" w:eastAsia="zh-CN"/>
        </w:rPr>
        <w:t>1</w:t>
      </w:r>
      <w:r>
        <w:rPr>
          <w:rFonts w:hint="default" w:ascii="Times New Roman" w:hAnsi="Times New Roman" w:eastAsia="宋体" w:cs="Times New Roman"/>
          <w:spacing w:val="0"/>
          <w:sz w:val="24"/>
          <w:szCs w:val="24"/>
          <w:highlight w:val="none"/>
        </w:rPr>
        <w:t>〕</w:t>
      </w:r>
      <w:r>
        <w:rPr>
          <w:rFonts w:hint="eastAsia" w:ascii="Times New Roman" w:hAnsi="Times New Roman" w:cs="Times New Roman"/>
          <w:spacing w:val="0"/>
          <w:sz w:val="24"/>
          <w:szCs w:val="24"/>
          <w:highlight w:val="none"/>
          <w:lang w:val="en-US" w:eastAsia="zh-CN"/>
        </w:rPr>
        <w:t>63</w:t>
      </w:r>
      <w:r>
        <w:rPr>
          <w:rFonts w:hint="default" w:ascii="Times New Roman" w:hAnsi="Times New Roman" w:eastAsia="宋体" w:cs="Times New Roman"/>
          <w:spacing w:val="0"/>
          <w:sz w:val="24"/>
          <w:szCs w:val="24"/>
          <w:highlight w:val="none"/>
          <w:lang w:val="en-US" w:eastAsia="zh-CN"/>
        </w:rPr>
        <w:t>号</w:t>
      </w:r>
      <w:r>
        <w:rPr>
          <w:rFonts w:hint="eastAsia" w:ascii="Times New Roman" w:hAnsi="Times New Roman" w:cs="Times New Roman"/>
          <w:spacing w:val="0"/>
          <w:sz w:val="24"/>
          <w:szCs w:val="24"/>
          <w:lang w:val="en-US" w:eastAsia="zh-CN"/>
        </w:rPr>
        <w:t>）</w:t>
      </w:r>
      <w:r>
        <w:rPr>
          <w:rFonts w:hint="default" w:ascii="Times New Roman" w:hAnsi="Times New Roman" w:eastAsia="宋体" w:cs="Times New Roman"/>
          <w:spacing w:val="0"/>
          <w:w w:val="100"/>
          <w:sz w:val="24"/>
          <w:szCs w:val="24"/>
        </w:rPr>
        <w:t>。</w:t>
      </w:r>
    </w:p>
    <w:p>
      <w:pPr>
        <w:pStyle w:val="15"/>
        <w:keepNext w:val="0"/>
        <w:keepLines w:val="0"/>
        <w:pageBreakBefore w:val="0"/>
        <w:widowControl w:val="0"/>
        <w:numPr>
          <w:ilvl w:val="0"/>
          <w:numId w:val="0"/>
        </w:numPr>
        <w:tabs>
          <w:tab w:val="left" w:pos="1125"/>
        </w:tabs>
        <w:kinsoku/>
        <w:wordWrap/>
        <w:overflowPunct/>
        <w:topLinePunct w:val="0"/>
        <w:autoSpaceDE/>
        <w:autoSpaceDN/>
        <w:bidi w:val="0"/>
        <w:adjustRightInd/>
        <w:snapToGrid/>
        <w:spacing w:after="0" w:line="360" w:lineRule="auto"/>
        <w:ind w:right="0" w:rightChars="0"/>
        <w:jc w:val="both"/>
        <w:textAlignment w:val="auto"/>
        <w:outlineLvl w:val="2"/>
        <w:rPr>
          <w:rFonts w:hint="default" w:ascii="Times New Roman" w:hAnsi="Times New Roman" w:eastAsia="宋体" w:cs="Times New Roman"/>
          <w:b/>
          <w:bCs/>
          <w:spacing w:val="0"/>
          <w:w w:val="100"/>
          <w:sz w:val="24"/>
          <w:szCs w:val="24"/>
        </w:rPr>
      </w:pPr>
      <w:bookmarkStart w:id="20" w:name="_Toc8784"/>
      <w:bookmarkStart w:id="21" w:name="_Toc8106"/>
      <w:r>
        <w:rPr>
          <w:rFonts w:hint="default" w:ascii="Times New Roman" w:hAnsi="Times New Roman" w:eastAsia="宋体" w:cs="Times New Roman"/>
          <w:b/>
          <w:bCs/>
          <w:spacing w:val="0"/>
          <w:w w:val="100"/>
          <w:sz w:val="24"/>
          <w:szCs w:val="24"/>
          <w:lang w:val="en-US" w:eastAsia="zh-CN"/>
        </w:rPr>
        <w:t>2</w:t>
      </w:r>
      <w:r>
        <w:rPr>
          <w:rFonts w:hint="eastAsia" w:ascii="Times New Roman" w:hAnsi="Times New Roman" w:cs="Times New Roman"/>
          <w:b/>
          <w:bCs/>
          <w:spacing w:val="0"/>
          <w:w w:val="100"/>
          <w:sz w:val="24"/>
          <w:szCs w:val="24"/>
          <w:lang w:val="en-US" w:eastAsia="zh-CN"/>
        </w:rPr>
        <w:t>.</w:t>
      </w:r>
      <w:r>
        <w:rPr>
          <w:rFonts w:hint="eastAsia" w:ascii="Times New Roman" w:hAnsi="Times New Roman" w:eastAsia="宋体" w:cs="Times New Roman"/>
          <w:b/>
          <w:bCs/>
          <w:spacing w:val="0"/>
          <w:w w:val="100"/>
          <w:sz w:val="24"/>
          <w:szCs w:val="24"/>
          <w:lang w:val="en-US" w:eastAsia="zh-CN"/>
        </w:rPr>
        <w:t>3</w:t>
      </w:r>
      <w:r>
        <w:rPr>
          <w:rFonts w:hint="eastAsia" w:ascii="Times New Roman" w:hAnsi="Times New Roman" w:cs="Times New Roman"/>
          <w:b/>
          <w:bCs/>
          <w:spacing w:val="0"/>
          <w:w w:val="100"/>
          <w:sz w:val="24"/>
          <w:szCs w:val="24"/>
          <w:lang w:val="en-US" w:eastAsia="zh-CN"/>
        </w:rPr>
        <w:t>.</w:t>
      </w:r>
      <w:r>
        <w:rPr>
          <w:rFonts w:hint="default" w:ascii="Times New Roman" w:hAnsi="Times New Roman" w:eastAsia="宋体" w:cs="Times New Roman"/>
          <w:b/>
          <w:bCs/>
          <w:spacing w:val="0"/>
          <w:w w:val="100"/>
          <w:sz w:val="24"/>
          <w:szCs w:val="24"/>
          <w:lang w:val="en-US" w:eastAsia="zh-CN"/>
        </w:rPr>
        <w:t xml:space="preserve">3 </w:t>
      </w:r>
      <w:r>
        <w:rPr>
          <w:rFonts w:hint="default" w:ascii="Times New Roman" w:hAnsi="Times New Roman" w:eastAsia="宋体" w:cs="Times New Roman"/>
          <w:b/>
          <w:bCs/>
          <w:spacing w:val="0"/>
          <w:w w:val="100"/>
          <w:sz w:val="24"/>
          <w:szCs w:val="24"/>
        </w:rPr>
        <w:t>技术导则、标准</w:t>
      </w:r>
      <w:bookmarkEnd w:id="20"/>
      <w:bookmarkEnd w:id="21"/>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pacing w:val="0"/>
          <w:w w:val="100"/>
          <w:sz w:val="24"/>
          <w:szCs w:val="24"/>
        </w:rPr>
      </w:pPr>
      <w:r>
        <w:rPr>
          <w:rFonts w:hint="default" w:ascii="Times New Roman" w:hAnsi="Times New Roman" w:eastAsia="宋体" w:cs="Times New Roman"/>
          <w:spacing w:val="0"/>
          <w:w w:val="100"/>
          <w:sz w:val="24"/>
          <w:szCs w:val="24"/>
        </w:rPr>
        <w:t>1、《土壤环境质量 建设用地土壤污染风险管制标准（试行）》（GB</w:t>
      </w:r>
      <w:r>
        <w:rPr>
          <w:rFonts w:hint="default" w:ascii="Times New Roman" w:hAnsi="Times New Roman" w:eastAsia="宋体" w:cs="Times New Roman"/>
          <w:spacing w:val="0"/>
          <w:w w:val="100"/>
          <w:sz w:val="24"/>
          <w:szCs w:val="24"/>
          <w:lang w:val="en-US" w:eastAsia="zh-CN"/>
        </w:rPr>
        <w:t xml:space="preserve"> </w:t>
      </w:r>
      <w:r>
        <w:rPr>
          <w:rFonts w:hint="default" w:ascii="Times New Roman" w:hAnsi="Times New Roman" w:eastAsia="宋体" w:cs="Times New Roman"/>
          <w:spacing w:val="0"/>
          <w:w w:val="100"/>
          <w:sz w:val="24"/>
          <w:szCs w:val="24"/>
        </w:rPr>
        <w:t>36600-2018）；</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pacing w:val="0"/>
          <w:w w:val="100"/>
          <w:sz w:val="24"/>
          <w:szCs w:val="24"/>
        </w:rPr>
      </w:pPr>
      <w:r>
        <w:rPr>
          <w:rFonts w:hint="default" w:ascii="Times New Roman" w:hAnsi="Times New Roman" w:eastAsia="宋体" w:cs="Times New Roman"/>
          <w:spacing w:val="0"/>
          <w:w w:val="100"/>
          <w:sz w:val="24"/>
          <w:szCs w:val="24"/>
        </w:rPr>
        <w:t>2、《建设用地土壤污染状况调查技术导则》（HJ25</w:t>
      </w:r>
      <w:r>
        <w:rPr>
          <w:rFonts w:hint="eastAsia" w:ascii="Times New Roman" w:hAnsi="Times New Roman" w:cs="Times New Roman"/>
          <w:spacing w:val="0"/>
          <w:w w:val="100"/>
          <w:sz w:val="24"/>
          <w:szCs w:val="24"/>
          <w:lang w:eastAsia="zh-CN"/>
        </w:rPr>
        <w:t>.</w:t>
      </w:r>
      <w:r>
        <w:rPr>
          <w:rFonts w:hint="default" w:ascii="Times New Roman" w:hAnsi="Times New Roman" w:eastAsia="宋体" w:cs="Times New Roman"/>
          <w:spacing w:val="0"/>
          <w:w w:val="100"/>
          <w:sz w:val="24"/>
          <w:szCs w:val="24"/>
        </w:rPr>
        <w:t>1-2019）；</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pacing w:val="0"/>
          <w:w w:val="100"/>
          <w:sz w:val="24"/>
          <w:szCs w:val="24"/>
        </w:rPr>
      </w:pPr>
      <w:r>
        <w:rPr>
          <w:rFonts w:hint="default" w:ascii="Times New Roman" w:hAnsi="Times New Roman" w:eastAsia="宋体" w:cs="Times New Roman"/>
          <w:spacing w:val="0"/>
          <w:w w:val="100"/>
          <w:sz w:val="24"/>
          <w:szCs w:val="24"/>
        </w:rPr>
        <w:t>3、《建设用地土壤污染风险管制和修复 监测技术导则》（HJ25</w:t>
      </w:r>
      <w:r>
        <w:rPr>
          <w:rFonts w:hint="eastAsia" w:ascii="Times New Roman" w:hAnsi="Times New Roman" w:cs="Times New Roman"/>
          <w:spacing w:val="0"/>
          <w:w w:val="100"/>
          <w:sz w:val="24"/>
          <w:szCs w:val="24"/>
          <w:lang w:eastAsia="zh-CN"/>
        </w:rPr>
        <w:t>.</w:t>
      </w:r>
      <w:r>
        <w:rPr>
          <w:rFonts w:hint="default" w:ascii="Times New Roman" w:hAnsi="Times New Roman" w:eastAsia="宋体" w:cs="Times New Roman"/>
          <w:spacing w:val="0"/>
          <w:w w:val="100"/>
          <w:sz w:val="24"/>
          <w:szCs w:val="24"/>
        </w:rPr>
        <w:t>2-2019）；</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pacing w:val="0"/>
          <w:w w:val="100"/>
          <w:sz w:val="24"/>
          <w:szCs w:val="24"/>
        </w:rPr>
      </w:pPr>
      <w:r>
        <w:rPr>
          <w:rFonts w:hint="eastAsia" w:ascii="Times New Roman" w:hAnsi="Times New Roman" w:eastAsia="宋体" w:cs="Times New Roman"/>
          <w:spacing w:val="0"/>
          <w:w w:val="100"/>
          <w:sz w:val="24"/>
          <w:szCs w:val="24"/>
          <w:lang w:val="en-US" w:eastAsia="zh-CN"/>
        </w:rPr>
        <w:t>4</w:t>
      </w:r>
      <w:r>
        <w:rPr>
          <w:rFonts w:hint="default" w:ascii="Times New Roman" w:hAnsi="Times New Roman" w:eastAsia="宋体" w:cs="Times New Roman"/>
          <w:spacing w:val="0"/>
          <w:w w:val="100"/>
          <w:sz w:val="24"/>
          <w:szCs w:val="24"/>
        </w:rPr>
        <w:t>、《建设用地土壤环境调查评估技术指南》（环境保护部公告 2017 年第72 号）；</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pacing w:val="0"/>
          <w:w w:val="100"/>
          <w:sz w:val="24"/>
          <w:szCs w:val="24"/>
        </w:rPr>
      </w:pPr>
      <w:r>
        <w:rPr>
          <w:rFonts w:hint="eastAsia" w:ascii="Times New Roman" w:hAnsi="Times New Roman" w:eastAsia="宋体" w:cs="Times New Roman"/>
          <w:spacing w:val="0"/>
          <w:w w:val="100"/>
          <w:sz w:val="24"/>
          <w:szCs w:val="24"/>
          <w:lang w:val="en-US" w:eastAsia="zh-CN"/>
        </w:rPr>
        <w:t>5</w:t>
      </w:r>
      <w:r>
        <w:rPr>
          <w:rFonts w:hint="default" w:ascii="Times New Roman" w:hAnsi="Times New Roman" w:eastAsia="宋体" w:cs="Times New Roman"/>
          <w:spacing w:val="0"/>
          <w:w w:val="100"/>
          <w:sz w:val="24"/>
          <w:szCs w:val="24"/>
        </w:rPr>
        <w:t>、《工业企业地块环境调查评估与修复工作指南（试行）》（部公告2017年第78号）；</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pacing w:val="0"/>
          <w:w w:val="100"/>
          <w:sz w:val="24"/>
          <w:szCs w:val="24"/>
        </w:rPr>
      </w:pPr>
      <w:r>
        <w:rPr>
          <w:rFonts w:hint="eastAsia" w:ascii="Times New Roman" w:hAnsi="Times New Roman" w:eastAsia="宋体" w:cs="Times New Roman"/>
          <w:spacing w:val="0"/>
          <w:w w:val="100"/>
          <w:sz w:val="24"/>
          <w:szCs w:val="24"/>
          <w:lang w:val="en-US" w:eastAsia="zh-CN"/>
        </w:rPr>
        <w:t>6</w:t>
      </w:r>
      <w:r>
        <w:rPr>
          <w:rFonts w:hint="default" w:ascii="Times New Roman" w:hAnsi="Times New Roman" w:eastAsia="宋体" w:cs="Times New Roman"/>
          <w:spacing w:val="0"/>
          <w:w w:val="100"/>
          <w:sz w:val="24"/>
          <w:szCs w:val="24"/>
        </w:rPr>
        <w:t>、《重点行业企业用地调查疑似污染地块布点技术规定（试行）》（2017年8月14日）；</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pacing w:val="0"/>
          <w:w w:val="100"/>
          <w:sz w:val="24"/>
          <w:szCs w:val="24"/>
        </w:rPr>
      </w:pPr>
      <w:r>
        <w:rPr>
          <w:rFonts w:hint="eastAsia" w:ascii="Times New Roman" w:hAnsi="Times New Roman" w:eastAsia="宋体" w:cs="Times New Roman"/>
          <w:spacing w:val="0"/>
          <w:w w:val="100"/>
          <w:sz w:val="24"/>
          <w:szCs w:val="24"/>
          <w:lang w:val="en-US" w:eastAsia="zh-CN"/>
        </w:rPr>
        <w:t>7</w:t>
      </w:r>
      <w:r>
        <w:rPr>
          <w:rFonts w:hint="default" w:ascii="Times New Roman" w:hAnsi="Times New Roman" w:eastAsia="宋体" w:cs="Times New Roman"/>
          <w:spacing w:val="0"/>
          <w:w w:val="100"/>
          <w:sz w:val="24"/>
          <w:szCs w:val="24"/>
        </w:rPr>
        <w:t>、《地下水质量标准》（GB/T14848-2017）；</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pacing w:val="0"/>
          <w:w w:val="100"/>
          <w:sz w:val="24"/>
          <w:szCs w:val="24"/>
        </w:rPr>
      </w:pPr>
      <w:r>
        <w:rPr>
          <w:rFonts w:hint="eastAsia" w:ascii="Times New Roman" w:hAnsi="Times New Roman" w:eastAsia="宋体" w:cs="Times New Roman"/>
          <w:spacing w:val="0"/>
          <w:w w:val="100"/>
          <w:sz w:val="24"/>
          <w:szCs w:val="24"/>
          <w:lang w:val="en-US" w:eastAsia="zh-CN"/>
        </w:rPr>
        <w:t>8</w:t>
      </w:r>
      <w:r>
        <w:rPr>
          <w:rFonts w:hint="default" w:ascii="Times New Roman" w:hAnsi="Times New Roman" w:eastAsia="宋体" w:cs="Times New Roman"/>
          <w:spacing w:val="0"/>
          <w:w w:val="100"/>
          <w:sz w:val="24"/>
          <w:szCs w:val="24"/>
        </w:rPr>
        <w:t>、《地下水环境监测技术规范》（</w:t>
      </w:r>
      <w:r>
        <w:rPr>
          <w:rFonts w:hint="eastAsia" w:ascii="Times New Roman" w:hAnsi="Times New Roman" w:cs="Times New Roman"/>
          <w:spacing w:val="0"/>
          <w:w w:val="100"/>
          <w:sz w:val="24"/>
          <w:szCs w:val="24"/>
          <w:lang w:eastAsia="zh-CN"/>
        </w:rPr>
        <w:t>HJ164-2020</w:t>
      </w:r>
      <w:r>
        <w:rPr>
          <w:rFonts w:hint="default" w:ascii="Times New Roman" w:hAnsi="Times New Roman" w:eastAsia="宋体" w:cs="Times New Roman"/>
          <w:spacing w:val="0"/>
          <w:w w:val="100"/>
          <w:sz w:val="24"/>
          <w:szCs w:val="24"/>
        </w:rPr>
        <w:t>）；</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pacing w:val="0"/>
          <w:w w:val="100"/>
          <w:sz w:val="24"/>
          <w:szCs w:val="24"/>
        </w:rPr>
      </w:pPr>
      <w:r>
        <w:rPr>
          <w:rFonts w:hint="eastAsia" w:ascii="Times New Roman" w:hAnsi="Times New Roman" w:eastAsia="宋体" w:cs="Times New Roman"/>
          <w:spacing w:val="0"/>
          <w:w w:val="100"/>
          <w:sz w:val="24"/>
          <w:szCs w:val="24"/>
          <w:lang w:val="en-US" w:eastAsia="zh-CN"/>
        </w:rPr>
        <w:t>9</w:t>
      </w:r>
      <w:r>
        <w:rPr>
          <w:rFonts w:hint="default" w:ascii="Times New Roman" w:hAnsi="Times New Roman" w:eastAsia="宋体" w:cs="Times New Roman"/>
          <w:spacing w:val="0"/>
          <w:w w:val="100"/>
          <w:sz w:val="24"/>
          <w:szCs w:val="24"/>
        </w:rPr>
        <w:t>、《土壤环境监测技术规范》（HJ/T166-2004）；</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pacing w:val="0"/>
          <w:w w:val="100"/>
          <w:sz w:val="24"/>
          <w:szCs w:val="24"/>
        </w:rPr>
      </w:pPr>
      <w:r>
        <w:rPr>
          <w:rFonts w:hint="default" w:ascii="Times New Roman" w:hAnsi="Times New Roman" w:eastAsia="宋体" w:cs="Times New Roman"/>
          <w:spacing w:val="0"/>
          <w:w w:val="100"/>
          <w:sz w:val="24"/>
          <w:szCs w:val="24"/>
        </w:rPr>
        <w:t>1</w:t>
      </w:r>
      <w:r>
        <w:rPr>
          <w:rFonts w:hint="eastAsia" w:ascii="Times New Roman" w:hAnsi="Times New Roman" w:eastAsia="宋体" w:cs="Times New Roman"/>
          <w:spacing w:val="0"/>
          <w:w w:val="100"/>
          <w:sz w:val="24"/>
          <w:szCs w:val="24"/>
          <w:lang w:val="en-US" w:eastAsia="zh-CN"/>
        </w:rPr>
        <w:t>0</w:t>
      </w:r>
      <w:r>
        <w:rPr>
          <w:rFonts w:hint="default" w:ascii="Times New Roman" w:hAnsi="Times New Roman" w:eastAsia="宋体" w:cs="Times New Roman"/>
          <w:spacing w:val="0"/>
          <w:w w:val="100"/>
          <w:sz w:val="24"/>
          <w:szCs w:val="24"/>
        </w:rPr>
        <w:t>、《地块土壤和地下水中挥发性有机物采样技术导则》（HJ1019-2019）；</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pacing w:val="0"/>
          <w:w w:val="100"/>
          <w:sz w:val="24"/>
          <w:szCs w:val="24"/>
        </w:rPr>
      </w:pPr>
      <w:r>
        <w:rPr>
          <w:rFonts w:hint="default" w:ascii="Times New Roman" w:hAnsi="Times New Roman" w:eastAsia="宋体" w:cs="Times New Roman"/>
          <w:spacing w:val="0"/>
          <w:w w:val="100"/>
          <w:sz w:val="24"/>
          <w:szCs w:val="24"/>
        </w:rPr>
        <w:t>1</w:t>
      </w:r>
      <w:r>
        <w:rPr>
          <w:rFonts w:hint="eastAsia" w:ascii="Times New Roman" w:hAnsi="Times New Roman" w:eastAsia="宋体" w:cs="Times New Roman"/>
          <w:spacing w:val="0"/>
          <w:w w:val="100"/>
          <w:sz w:val="24"/>
          <w:szCs w:val="24"/>
          <w:lang w:val="en-US" w:eastAsia="zh-CN"/>
        </w:rPr>
        <w:t>1</w:t>
      </w:r>
      <w:r>
        <w:rPr>
          <w:rFonts w:hint="default" w:ascii="Times New Roman" w:hAnsi="Times New Roman" w:eastAsia="宋体" w:cs="Times New Roman"/>
          <w:spacing w:val="0"/>
          <w:w w:val="100"/>
          <w:sz w:val="24"/>
          <w:szCs w:val="24"/>
        </w:rPr>
        <w:t>、《全国土壤污染状况详查土壤样品分析测试方法技术规定》；</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pacing w:val="0"/>
          <w:w w:val="100"/>
          <w:sz w:val="24"/>
          <w:szCs w:val="24"/>
        </w:rPr>
      </w:pPr>
      <w:r>
        <w:rPr>
          <w:rFonts w:hint="default" w:ascii="Times New Roman" w:hAnsi="Times New Roman" w:eastAsia="宋体" w:cs="Times New Roman"/>
          <w:spacing w:val="0"/>
          <w:w w:val="100"/>
          <w:sz w:val="24"/>
          <w:szCs w:val="24"/>
        </w:rPr>
        <w:t>1</w:t>
      </w:r>
      <w:r>
        <w:rPr>
          <w:rFonts w:hint="eastAsia" w:ascii="Times New Roman" w:hAnsi="Times New Roman" w:eastAsia="宋体" w:cs="Times New Roman"/>
          <w:spacing w:val="0"/>
          <w:w w:val="100"/>
          <w:sz w:val="24"/>
          <w:szCs w:val="24"/>
          <w:lang w:val="en-US" w:eastAsia="zh-CN"/>
        </w:rPr>
        <w:t>2</w:t>
      </w:r>
      <w:r>
        <w:rPr>
          <w:rFonts w:hint="default" w:ascii="Times New Roman" w:hAnsi="Times New Roman" w:eastAsia="宋体" w:cs="Times New Roman"/>
          <w:spacing w:val="0"/>
          <w:w w:val="100"/>
          <w:sz w:val="24"/>
          <w:szCs w:val="24"/>
        </w:rPr>
        <w:t>、《全国土壤污染状况详查地下水样品分析测试方法技术规定》；</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pacing w:val="0"/>
          <w:w w:val="100"/>
          <w:sz w:val="24"/>
          <w:szCs w:val="24"/>
        </w:rPr>
      </w:pPr>
      <w:r>
        <w:rPr>
          <w:rFonts w:hint="default" w:ascii="Times New Roman" w:hAnsi="Times New Roman" w:eastAsia="宋体" w:cs="Times New Roman"/>
          <w:spacing w:val="0"/>
          <w:w w:val="100"/>
          <w:sz w:val="24"/>
          <w:szCs w:val="24"/>
        </w:rPr>
        <w:t>1</w:t>
      </w:r>
      <w:r>
        <w:rPr>
          <w:rFonts w:hint="eastAsia" w:ascii="Times New Roman" w:hAnsi="Times New Roman" w:eastAsia="宋体" w:cs="Times New Roman"/>
          <w:spacing w:val="0"/>
          <w:w w:val="100"/>
          <w:sz w:val="24"/>
          <w:szCs w:val="24"/>
          <w:lang w:val="en-US" w:eastAsia="zh-CN"/>
        </w:rPr>
        <w:t>3</w:t>
      </w:r>
      <w:r>
        <w:rPr>
          <w:rFonts w:hint="default" w:ascii="Times New Roman" w:hAnsi="Times New Roman" w:eastAsia="宋体" w:cs="Times New Roman"/>
          <w:spacing w:val="0"/>
          <w:w w:val="100"/>
          <w:sz w:val="24"/>
          <w:szCs w:val="24"/>
        </w:rPr>
        <w:t>、《城市用地分类与规划建设用地标准》（GB50137-2011）；</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pacing w:val="0"/>
          <w:w w:val="100"/>
          <w:sz w:val="24"/>
          <w:szCs w:val="24"/>
        </w:rPr>
      </w:pPr>
      <w:r>
        <w:rPr>
          <w:rFonts w:hint="eastAsia" w:ascii="Times New Roman" w:hAnsi="Times New Roman" w:eastAsia="宋体" w:cs="Times New Roman"/>
          <w:spacing w:val="0"/>
          <w:w w:val="100"/>
          <w:sz w:val="24"/>
          <w:szCs w:val="24"/>
          <w:lang w:val="en-US" w:eastAsia="zh-CN"/>
        </w:rPr>
        <w:t>1</w:t>
      </w:r>
      <w:r>
        <w:rPr>
          <w:rFonts w:hint="eastAsia" w:ascii="Times New Roman" w:hAnsi="Times New Roman" w:cs="Times New Roman"/>
          <w:spacing w:val="0"/>
          <w:w w:val="100"/>
          <w:sz w:val="24"/>
          <w:szCs w:val="24"/>
          <w:lang w:val="en-US" w:eastAsia="zh-CN"/>
        </w:rPr>
        <w:t>4</w:t>
      </w:r>
      <w:r>
        <w:rPr>
          <w:rFonts w:hint="default" w:ascii="Times New Roman" w:hAnsi="Times New Roman" w:eastAsia="宋体" w:cs="Times New Roman"/>
          <w:spacing w:val="0"/>
          <w:w w:val="100"/>
          <w:sz w:val="24"/>
          <w:szCs w:val="24"/>
        </w:rPr>
        <w:t>、《土的工程分类标准》（GB/T50145-2007）；</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pacing w:val="0"/>
          <w:w w:val="100"/>
          <w:sz w:val="24"/>
          <w:szCs w:val="24"/>
        </w:rPr>
      </w:pPr>
      <w:r>
        <w:rPr>
          <w:rFonts w:hint="eastAsia" w:ascii="Times New Roman" w:hAnsi="Times New Roman" w:eastAsia="宋体" w:cs="Times New Roman"/>
          <w:spacing w:val="0"/>
          <w:w w:val="100"/>
          <w:sz w:val="24"/>
          <w:szCs w:val="24"/>
          <w:lang w:val="en-US" w:eastAsia="zh-CN"/>
        </w:rPr>
        <w:t>1</w:t>
      </w:r>
      <w:r>
        <w:rPr>
          <w:rFonts w:hint="eastAsia" w:ascii="Times New Roman" w:hAnsi="Times New Roman" w:cs="Times New Roman"/>
          <w:spacing w:val="0"/>
          <w:w w:val="100"/>
          <w:sz w:val="24"/>
          <w:szCs w:val="24"/>
          <w:lang w:val="en-US" w:eastAsia="zh-CN"/>
        </w:rPr>
        <w:t>5</w:t>
      </w:r>
      <w:r>
        <w:rPr>
          <w:rFonts w:hint="default" w:ascii="Times New Roman" w:hAnsi="Times New Roman" w:eastAsia="宋体" w:cs="Times New Roman"/>
          <w:spacing w:val="0"/>
          <w:w w:val="100"/>
          <w:sz w:val="24"/>
          <w:szCs w:val="24"/>
        </w:rPr>
        <w:t>、《土工试验方法标准》（GB/T 50123-</w:t>
      </w:r>
      <w:r>
        <w:rPr>
          <w:rFonts w:hint="eastAsia" w:ascii="Times New Roman" w:hAnsi="Times New Roman" w:cs="Times New Roman"/>
          <w:spacing w:val="0"/>
          <w:w w:val="100"/>
          <w:sz w:val="24"/>
          <w:szCs w:val="24"/>
          <w:lang w:val="en-US" w:eastAsia="zh-CN"/>
        </w:rPr>
        <w:t>2019</w:t>
      </w:r>
      <w:r>
        <w:rPr>
          <w:rFonts w:hint="default" w:ascii="Times New Roman" w:hAnsi="Times New Roman" w:eastAsia="宋体" w:cs="Times New Roman"/>
          <w:spacing w:val="0"/>
          <w:w w:val="100"/>
          <w:sz w:val="24"/>
          <w:szCs w:val="24"/>
        </w:rPr>
        <w:t>）；</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pacing w:val="0"/>
          <w:w w:val="100"/>
          <w:sz w:val="24"/>
          <w:szCs w:val="24"/>
          <w:lang w:val="en-US" w:eastAsia="zh-CN"/>
        </w:rPr>
      </w:pPr>
      <w:r>
        <w:rPr>
          <w:rFonts w:hint="eastAsia" w:ascii="Times New Roman" w:hAnsi="Times New Roman" w:eastAsia="宋体" w:cs="Times New Roman"/>
          <w:spacing w:val="0"/>
          <w:w w:val="100"/>
          <w:sz w:val="24"/>
          <w:szCs w:val="24"/>
          <w:lang w:val="en-US" w:eastAsia="zh-CN"/>
        </w:rPr>
        <w:t>1</w:t>
      </w:r>
      <w:r>
        <w:rPr>
          <w:rFonts w:hint="eastAsia" w:ascii="Times New Roman" w:hAnsi="Times New Roman" w:cs="Times New Roman"/>
          <w:spacing w:val="0"/>
          <w:w w:val="100"/>
          <w:sz w:val="24"/>
          <w:szCs w:val="24"/>
          <w:lang w:val="en-US" w:eastAsia="zh-CN"/>
        </w:rPr>
        <w:t>6</w:t>
      </w:r>
      <w:r>
        <w:rPr>
          <w:rFonts w:hint="default" w:ascii="Times New Roman" w:hAnsi="Times New Roman" w:eastAsia="宋体" w:cs="Times New Roman"/>
          <w:spacing w:val="0"/>
          <w:w w:val="100"/>
          <w:sz w:val="24"/>
          <w:szCs w:val="24"/>
          <w:lang w:val="en-US" w:eastAsia="zh-CN"/>
        </w:rPr>
        <w:t>、《岩土工程勘察规范》（GB50021-2001）；</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pacing w:val="0"/>
          <w:w w:val="100"/>
          <w:sz w:val="24"/>
          <w:szCs w:val="24"/>
          <w:lang w:val="en-US" w:eastAsia="zh-CN"/>
        </w:rPr>
      </w:pPr>
      <w:r>
        <w:rPr>
          <w:rFonts w:hint="eastAsia" w:ascii="Times New Roman" w:hAnsi="Times New Roman" w:eastAsia="宋体" w:cs="Times New Roman"/>
          <w:spacing w:val="0"/>
          <w:w w:val="100"/>
          <w:sz w:val="24"/>
          <w:szCs w:val="24"/>
          <w:lang w:val="en-US" w:eastAsia="zh-CN"/>
        </w:rPr>
        <w:t>1</w:t>
      </w:r>
      <w:r>
        <w:rPr>
          <w:rFonts w:hint="eastAsia" w:ascii="Times New Roman" w:hAnsi="Times New Roman" w:cs="Times New Roman"/>
          <w:spacing w:val="0"/>
          <w:w w:val="100"/>
          <w:sz w:val="24"/>
          <w:szCs w:val="24"/>
          <w:lang w:val="en-US" w:eastAsia="zh-CN"/>
        </w:rPr>
        <w:t>7</w:t>
      </w:r>
      <w:r>
        <w:rPr>
          <w:rFonts w:hint="eastAsia" w:ascii="Times New Roman" w:hAnsi="Times New Roman" w:eastAsia="宋体" w:cs="Times New Roman"/>
          <w:spacing w:val="0"/>
          <w:w w:val="100"/>
          <w:sz w:val="24"/>
          <w:szCs w:val="24"/>
          <w:lang w:val="en-US" w:eastAsia="zh-CN"/>
        </w:rPr>
        <w:t>、</w:t>
      </w:r>
      <w:r>
        <w:rPr>
          <w:rFonts w:hint="default" w:ascii="Times New Roman" w:hAnsi="Times New Roman" w:eastAsia="宋体" w:cs="Times New Roman"/>
          <w:spacing w:val="0"/>
          <w:w w:val="100"/>
          <w:sz w:val="24"/>
          <w:szCs w:val="24"/>
          <w:lang w:val="en-US" w:eastAsia="zh-CN"/>
        </w:rPr>
        <w:t>《地表水环境质量标准》（GB 3838-2002）</w:t>
      </w:r>
      <w:r>
        <w:rPr>
          <w:rFonts w:hint="eastAsia" w:ascii="Times New Roman" w:hAnsi="Times New Roman" w:eastAsia="宋体" w:cs="Times New Roman"/>
          <w:spacing w:val="0"/>
          <w:w w:val="100"/>
          <w:sz w:val="24"/>
          <w:szCs w:val="24"/>
          <w:lang w:val="en-US" w:eastAsia="zh-CN"/>
        </w:rPr>
        <w:t>；</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pacing w:val="0"/>
          <w:w w:val="100"/>
          <w:sz w:val="24"/>
          <w:szCs w:val="24"/>
          <w:lang w:val="en-US" w:eastAsia="zh-CN"/>
        </w:rPr>
      </w:pPr>
      <w:r>
        <w:rPr>
          <w:rFonts w:hint="eastAsia" w:ascii="Times New Roman" w:hAnsi="Times New Roman" w:eastAsia="宋体" w:cs="Times New Roman"/>
          <w:spacing w:val="0"/>
          <w:w w:val="100"/>
          <w:sz w:val="24"/>
          <w:szCs w:val="24"/>
          <w:lang w:val="en-US" w:eastAsia="zh-CN"/>
        </w:rPr>
        <w:t>1</w:t>
      </w:r>
      <w:r>
        <w:rPr>
          <w:rFonts w:hint="eastAsia" w:ascii="Times New Roman" w:hAnsi="Times New Roman" w:cs="Times New Roman"/>
          <w:spacing w:val="0"/>
          <w:w w:val="100"/>
          <w:sz w:val="24"/>
          <w:szCs w:val="24"/>
          <w:lang w:val="en-US" w:eastAsia="zh-CN"/>
        </w:rPr>
        <w:t>8</w:t>
      </w:r>
      <w:r>
        <w:rPr>
          <w:rFonts w:hint="eastAsia" w:ascii="Times New Roman" w:hAnsi="Times New Roman" w:eastAsia="宋体" w:cs="Times New Roman"/>
          <w:spacing w:val="0"/>
          <w:w w:val="100"/>
          <w:sz w:val="24"/>
          <w:szCs w:val="24"/>
          <w:lang w:val="en-US" w:eastAsia="zh-CN"/>
        </w:rPr>
        <w:t>、《河北省建设用地土壤污染风险筛选值》（DB 13/T 5216-2020）；</w:t>
      </w:r>
    </w:p>
    <w:p>
      <w:pPr>
        <w:pStyle w:val="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pacing w:val="0"/>
          <w:w w:val="100"/>
          <w:sz w:val="24"/>
          <w:szCs w:val="24"/>
          <w:lang w:val="en-US" w:eastAsia="zh-CN"/>
        </w:rPr>
      </w:pPr>
      <w:r>
        <w:rPr>
          <w:rFonts w:hint="eastAsia" w:ascii="Times New Roman" w:hAnsi="Times New Roman" w:cs="Times New Roman"/>
          <w:spacing w:val="0"/>
          <w:w w:val="100"/>
          <w:sz w:val="24"/>
          <w:szCs w:val="24"/>
          <w:lang w:val="en-US" w:eastAsia="zh-CN"/>
        </w:rPr>
        <w:t>19</w:t>
      </w:r>
      <w:r>
        <w:rPr>
          <w:rFonts w:hint="default" w:ascii="Times New Roman" w:hAnsi="Times New Roman" w:eastAsia="宋体" w:cs="Times New Roman"/>
          <w:spacing w:val="0"/>
          <w:w w:val="100"/>
          <w:sz w:val="24"/>
          <w:szCs w:val="24"/>
          <w:lang w:val="en-US" w:eastAsia="zh-CN"/>
        </w:rPr>
        <w:t>、《北京市场地土壤环境风险评价筛选值》（DB11/T 811-2011)</w:t>
      </w:r>
      <w:r>
        <w:rPr>
          <w:rFonts w:hint="eastAsia" w:ascii="Times New Roman" w:hAnsi="Times New Roman" w:eastAsia="宋体" w:cs="Times New Roman"/>
          <w:spacing w:val="0"/>
          <w:w w:val="100"/>
          <w:sz w:val="24"/>
          <w:szCs w:val="24"/>
          <w:lang w:val="en-US" w:eastAsia="zh-CN"/>
        </w:rPr>
        <w:t>。</w:t>
      </w:r>
    </w:p>
    <w:p>
      <w:pPr>
        <w:pStyle w:val="15"/>
        <w:keepNext w:val="0"/>
        <w:keepLines w:val="0"/>
        <w:pageBreakBefore w:val="0"/>
        <w:widowControl w:val="0"/>
        <w:numPr>
          <w:ilvl w:val="0"/>
          <w:numId w:val="0"/>
        </w:numPr>
        <w:tabs>
          <w:tab w:val="left" w:pos="1185"/>
        </w:tabs>
        <w:kinsoku/>
        <w:wordWrap/>
        <w:overflowPunct/>
        <w:topLinePunct w:val="0"/>
        <w:autoSpaceDE/>
        <w:autoSpaceDN/>
        <w:bidi w:val="0"/>
        <w:adjustRightInd/>
        <w:snapToGrid/>
        <w:spacing w:after="0" w:line="360" w:lineRule="auto"/>
        <w:ind w:right="0" w:rightChars="0"/>
        <w:jc w:val="both"/>
        <w:textAlignment w:val="auto"/>
        <w:outlineLvl w:val="2"/>
        <w:rPr>
          <w:rFonts w:hint="default" w:ascii="Times New Roman" w:hAnsi="Times New Roman" w:eastAsia="宋体" w:cs="Times New Roman"/>
          <w:b/>
          <w:bCs/>
          <w:spacing w:val="0"/>
          <w:w w:val="100"/>
          <w:sz w:val="24"/>
          <w:szCs w:val="24"/>
        </w:rPr>
      </w:pPr>
      <w:bookmarkStart w:id="22" w:name="_Toc1683"/>
      <w:bookmarkStart w:id="23" w:name="_Toc21884"/>
      <w:r>
        <w:rPr>
          <w:rFonts w:hint="default" w:ascii="Times New Roman" w:hAnsi="Times New Roman" w:eastAsia="宋体" w:cs="Times New Roman"/>
          <w:b/>
          <w:bCs/>
          <w:spacing w:val="0"/>
          <w:w w:val="100"/>
          <w:sz w:val="24"/>
          <w:szCs w:val="24"/>
          <w:lang w:val="en-US" w:eastAsia="zh-CN"/>
        </w:rPr>
        <w:t>2</w:t>
      </w:r>
      <w:r>
        <w:rPr>
          <w:rFonts w:hint="eastAsia" w:ascii="Times New Roman" w:hAnsi="Times New Roman" w:cs="Times New Roman"/>
          <w:b/>
          <w:bCs/>
          <w:spacing w:val="0"/>
          <w:w w:val="100"/>
          <w:sz w:val="24"/>
          <w:szCs w:val="24"/>
          <w:lang w:val="en-US" w:eastAsia="zh-CN"/>
        </w:rPr>
        <w:t>.</w:t>
      </w:r>
      <w:r>
        <w:rPr>
          <w:rFonts w:hint="eastAsia" w:ascii="Times New Roman" w:hAnsi="Times New Roman" w:eastAsia="宋体" w:cs="Times New Roman"/>
          <w:b/>
          <w:bCs/>
          <w:spacing w:val="0"/>
          <w:w w:val="100"/>
          <w:sz w:val="24"/>
          <w:szCs w:val="24"/>
          <w:lang w:val="en-US" w:eastAsia="zh-CN"/>
        </w:rPr>
        <w:t>3</w:t>
      </w:r>
      <w:r>
        <w:rPr>
          <w:rFonts w:hint="eastAsia" w:ascii="Times New Roman" w:hAnsi="Times New Roman" w:cs="Times New Roman"/>
          <w:b/>
          <w:bCs/>
          <w:spacing w:val="0"/>
          <w:w w:val="100"/>
          <w:sz w:val="24"/>
          <w:szCs w:val="24"/>
          <w:lang w:val="en-US" w:eastAsia="zh-CN"/>
        </w:rPr>
        <w:t>.</w:t>
      </w:r>
      <w:r>
        <w:rPr>
          <w:rFonts w:hint="eastAsia" w:ascii="Times New Roman" w:hAnsi="Times New Roman" w:eastAsia="宋体" w:cs="Times New Roman"/>
          <w:b/>
          <w:bCs/>
          <w:spacing w:val="0"/>
          <w:w w:val="100"/>
          <w:sz w:val="24"/>
          <w:szCs w:val="24"/>
          <w:lang w:val="en-US" w:eastAsia="zh-CN"/>
        </w:rPr>
        <w:t>4</w:t>
      </w:r>
      <w:r>
        <w:rPr>
          <w:rFonts w:hint="default" w:ascii="Times New Roman" w:hAnsi="Times New Roman" w:eastAsia="宋体" w:cs="Times New Roman"/>
          <w:b/>
          <w:bCs/>
          <w:spacing w:val="0"/>
          <w:w w:val="100"/>
          <w:sz w:val="24"/>
          <w:szCs w:val="24"/>
          <w:lang w:val="en-US" w:eastAsia="zh-CN"/>
        </w:rPr>
        <w:t xml:space="preserve"> </w:t>
      </w:r>
      <w:r>
        <w:rPr>
          <w:rFonts w:hint="default" w:ascii="Times New Roman" w:hAnsi="Times New Roman" w:eastAsia="宋体" w:cs="Times New Roman"/>
          <w:b/>
          <w:bCs/>
          <w:spacing w:val="0"/>
          <w:w w:val="100"/>
          <w:sz w:val="24"/>
          <w:szCs w:val="24"/>
        </w:rPr>
        <w:t>其他资料</w:t>
      </w:r>
      <w:bookmarkEnd w:id="22"/>
      <w:bookmarkEnd w:id="23"/>
    </w:p>
    <w:p>
      <w:pPr>
        <w:pStyle w:val="15"/>
        <w:keepNext w:val="0"/>
        <w:keepLines w:val="0"/>
        <w:pageBreakBefore w:val="0"/>
        <w:widowControl w:val="0"/>
        <w:numPr>
          <w:ilvl w:val="0"/>
          <w:numId w:val="0"/>
        </w:numPr>
        <w:tabs>
          <w:tab w:val="left" w:pos="1185"/>
        </w:tabs>
        <w:kinsoku/>
        <w:wordWrap/>
        <w:overflowPunct/>
        <w:topLinePunct w:val="0"/>
        <w:autoSpaceDE/>
        <w:autoSpaceDN/>
        <w:bidi w:val="0"/>
        <w:adjustRightInd/>
        <w:snapToGrid/>
        <w:spacing w:after="0" w:line="360" w:lineRule="auto"/>
        <w:ind w:right="0" w:rightChars="0" w:firstLine="480" w:firstLineChars="200"/>
        <w:jc w:val="both"/>
        <w:textAlignment w:val="auto"/>
        <w:outlineLvl w:val="9"/>
        <w:rPr>
          <w:rFonts w:hint="default" w:ascii="Times New Roman" w:hAnsi="Times New Roman" w:eastAsia="宋体" w:cs="Times New Roman"/>
          <w:b w:val="0"/>
          <w:bCs w:val="0"/>
          <w:color w:val="auto"/>
          <w:spacing w:val="0"/>
          <w:w w:val="100"/>
          <w:sz w:val="24"/>
          <w:szCs w:val="24"/>
          <w:lang w:val="en-US" w:eastAsia="zh-CN"/>
        </w:rPr>
      </w:pPr>
      <w:r>
        <w:rPr>
          <w:rFonts w:hint="eastAsia" w:ascii="Times New Roman" w:hAnsi="Times New Roman" w:cs="Times New Roman"/>
          <w:b w:val="0"/>
          <w:bCs w:val="0"/>
          <w:color w:val="auto"/>
          <w:spacing w:val="0"/>
          <w:w w:val="100"/>
          <w:sz w:val="24"/>
          <w:szCs w:val="24"/>
          <w:lang w:val="en-US" w:eastAsia="zh-CN"/>
        </w:rPr>
        <w:t>1</w:t>
      </w:r>
      <w:r>
        <w:rPr>
          <w:rFonts w:hint="eastAsia" w:ascii="Times New Roman" w:hAnsi="Times New Roman" w:eastAsia="宋体" w:cs="Times New Roman"/>
          <w:b w:val="0"/>
          <w:bCs w:val="0"/>
          <w:color w:val="auto"/>
          <w:spacing w:val="0"/>
          <w:w w:val="100"/>
          <w:sz w:val="24"/>
          <w:szCs w:val="24"/>
          <w:lang w:val="en-US" w:eastAsia="zh-CN"/>
        </w:rPr>
        <w:t>、</w:t>
      </w:r>
      <w:r>
        <w:rPr>
          <w:rFonts w:hint="eastAsia" w:ascii="Times New Roman" w:hAnsi="Times New Roman" w:eastAsia="宋体" w:cs="Times New Roman"/>
          <w:spacing w:val="0"/>
          <w:w w:val="100"/>
          <w:kern w:val="2"/>
          <w:sz w:val="24"/>
          <w:szCs w:val="24"/>
          <w:lang w:val="en-US" w:eastAsia="zh-CN" w:bidi="zh-CN"/>
        </w:rPr>
        <w:t>《</w:t>
      </w:r>
      <w:r>
        <w:rPr>
          <w:rFonts w:hint="eastAsia" w:ascii="Times New Roman" w:hAnsi="Times New Roman" w:eastAsia="宋体" w:cs="Times New Roman"/>
          <w:spacing w:val="0"/>
          <w:w w:val="100"/>
          <w:kern w:val="2"/>
          <w:sz w:val="24"/>
          <w:szCs w:val="24"/>
          <w:lang w:val="zh-CN" w:eastAsia="zh-CN" w:bidi="zh-CN"/>
        </w:rPr>
        <w:t>世纪诚园</w:t>
      </w:r>
      <w:r>
        <w:rPr>
          <w:rFonts w:hint="eastAsia" w:ascii="Times New Roman" w:hAnsi="Times New Roman" w:cs="Times New Roman"/>
          <w:spacing w:val="0"/>
          <w:w w:val="100"/>
          <w:kern w:val="2"/>
          <w:sz w:val="24"/>
          <w:szCs w:val="24"/>
          <w:lang w:val="en-US" w:eastAsia="zh-CN" w:bidi="zh-CN"/>
        </w:rPr>
        <w:t>一期</w:t>
      </w:r>
      <w:r>
        <w:rPr>
          <w:rFonts w:hint="eastAsia" w:ascii="Times New Roman" w:hAnsi="Times New Roman" w:eastAsia="宋体" w:cs="Times New Roman"/>
          <w:spacing w:val="0"/>
          <w:w w:val="100"/>
          <w:kern w:val="2"/>
          <w:sz w:val="24"/>
          <w:szCs w:val="24"/>
          <w:lang w:val="en-US" w:eastAsia="zh-CN" w:bidi="zh-CN"/>
        </w:rPr>
        <w:t>岩土工程勘察</w:t>
      </w:r>
      <w:r>
        <w:rPr>
          <w:rFonts w:hint="eastAsia" w:ascii="Times New Roman" w:hAnsi="Times New Roman" w:cs="Times New Roman"/>
          <w:color w:val="auto"/>
          <w:spacing w:val="0"/>
          <w:sz w:val="24"/>
          <w:szCs w:val="24"/>
          <w:lang w:val="en-US" w:eastAsia="zh-CN"/>
        </w:rPr>
        <w:t>报告》（2022年1月）</w:t>
      </w:r>
      <w:r>
        <w:rPr>
          <w:rFonts w:hint="eastAsia" w:ascii="Times New Roman" w:hAnsi="Times New Roman" w:eastAsia="宋体" w:cs="Times New Roman"/>
          <w:color w:val="auto"/>
          <w:spacing w:val="0"/>
          <w:w w:val="100"/>
          <w:kern w:val="2"/>
          <w:sz w:val="24"/>
          <w:szCs w:val="24"/>
          <w:lang w:val="en-US" w:eastAsia="zh-CN" w:bidi="ar-SA"/>
        </w:rPr>
        <w:t>；</w:t>
      </w:r>
    </w:p>
    <w:p>
      <w:pPr>
        <w:pStyle w:val="15"/>
        <w:keepNext w:val="0"/>
        <w:keepLines w:val="0"/>
        <w:pageBreakBefore w:val="0"/>
        <w:widowControl w:val="0"/>
        <w:numPr>
          <w:ilvl w:val="0"/>
          <w:numId w:val="0"/>
        </w:numPr>
        <w:tabs>
          <w:tab w:val="left" w:pos="1185"/>
        </w:tabs>
        <w:kinsoku/>
        <w:wordWrap/>
        <w:overflowPunct/>
        <w:topLinePunct w:val="0"/>
        <w:autoSpaceDE/>
        <w:autoSpaceDN/>
        <w:bidi w:val="0"/>
        <w:adjustRightInd/>
        <w:snapToGrid/>
        <w:spacing w:after="0" w:line="360" w:lineRule="auto"/>
        <w:ind w:right="0" w:rightChars="0" w:firstLine="480" w:firstLineChars="200"/>
        <w:jc w:val="both"/>
        <w:textAlignment w:val="auto"/>
        <w:outlineLvl w:val="9"/>
        <w:rPr>
          <w:rFonts w:hint="eastAsia" w:ascii="Times New Roman" w:hAnsi="Times New Roman" w:eastAsia="宋体" w:cs="Times New Roman"/>
          <w:b w:val="0"/>
          <w:bCs w:val="0"/>
          <w:spacing w:val="0"/>
          <w:w w:val="100"/>
          <w:sz w:val="24"/>
          <w:szCs w:val="24"/>
          <w:lang w:val="en-US" w:eastAsia="zh-CN"/>
        </w:rPr>
      </w:pPr>
      <w:r>
        <w:rPr>
          <w:rFonts w:hint="eastAsia" w:ascii="Times New Roman" w:hAnsi="Times New Roman" w:cs="Times New Roman"/>
          <w:b w:val="0"/>
          <w:bCs w:val="0"/>
          <w:spacing w:val="0"/>
          <w:w w:val="100"/>
          <w:sz w:val="24"/>
          <w:szCs w:val="24"/>
          <w:lang w:val="en-US" w:eastAsia="zh-CN"/>
        </w:rPr>
        <w:t>2</w:t>
      </w:r>
      <w:r>
        <w:rPr>
          <w:rFonts w:hint="default" w:ascii="Times New Roman" w:hAnsi="Times New Roman" w:eastAsia="宋体" w:cs="Times New Roman"/>
          <w:b w:val="0"/>
          <w:bCs w:val="0"/>
          <w:spacing w:val="0"/>
          <w:w w:val="100"/>
          <w:sz w:val="24"/>
          <w:szCs w:val="24"/>
          <w:lang w:val="en-US" w:eastAsia="zh-CN"/>
        </w:rPr>
        <w:t>、检测报告、质控报告</w:t>
      </w:r>
      <w:r>
        <w:rPr>
          <w:rFonts w:hint="eastAsia" w:ascii="Times New Roman" w:hAnsi="Times New Roman" w:eastAsia="宋体" w:cs="Times New Roman"/>
          <w:b w:val="0"/>
          <w:bCs w:val="0"/>
          <w:spacing w:val="0"/>
          <w:w w:val="100"/>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 w:val="0"/>
          <w:bCs w:val="0"/>
          <w:spacing w:val="0"/>
          <w:w w:val="100"/>
          <w:sz w:val="24"/>
          <w:szCs w:val="24"/>
          <w:lang w:val="en-US" w:eastAsia="zh-CN"/>
        </w:rPr>
      </w:pPr>
      <w:r>
        <w:rPr>
          <w:rFonts w:hint="eastAsia" w:ascii="Times New Roman" w:hAnsi="Times New Roman" w:cs="Times New Roman"/>
          <w:b w:val="0"/>
          <w:bCs w:val="0"/>
          <w:spacing w:val="0"/>
          <w:w w:val="100"/>
          <w:sz w:val="24"/>
          <w:szCs w:val="24"/>
          <w:lang w:val="en-US" w:eastAsia="zh-CN"/>
        </w:rPr>
        <w:t>3、《</w:t>
      </w:r>
      <w:r>
        <w:rPr>
          <w:rFonts w:hint="eastAsia" w:ascii="宋体" w:hAnsi="宋体" w:eastAsia="宋体" w:cs="宋体"/>
          <w:color w:val="000000"/>
          <w:kern w:val="0"/>
          <w:sz w:val="24"/>
          <w:szCs w:val="24"/>
          <w:lang w:val="en-US" w:eastAsia="zh-CN" w:bidi="ar"/>
        </w:rPr>
        <w:t>临沭县供热服务有限公司锅炉烟气脱硫脱硝、除尘超低排放建设工程</w:t>
      </w:r>
      <w:r>
        <w:rPr>
          <w:rFonts w:hint="eastAsia" w:ascii="Times New Roman" w:hAnsi="Times New Roman" w:cs="Times New Roman"/>
          <w:b w:val="0"/>
          <w:bCs w:val="0"/>
          <w:spacing w:val="0"/>
          <w:w w:val="100"/>
          <w:sz w:val="24"/>
          <w:szCs w:val="24"/>
          <w:lang w:val="en-US" w:eastAsia="zh-CN"/>
        </w:rPr>
        <w:t>项目环境影响评价报告表》；</w:t>
      </w:r>
    </w:p>
    <w:p>
      <w:pPr>
        <w:pStyle w:val="15"/>
        <w:keepNext w:val="0"/>
        <w:keepLines w:val="0"/>
        <w:pageBreakBefore w:val="0"/>
        <w:widowControl w:val="0"/>
        <w:numPr>
          <w:ilvl w:val="0"/>
          <w:numId w:val="0"/>
        </w:numPr>
        <w:tabs>
          <w:tab w:val="left" w:pos="1185"/>
        </w:tabs>
        <w:kinsoku/>
        <w:wordWrap/>
        <w:overflowPunct/>
        <w:topLinePunct w:val="0"/>
        <w:autoSpaceDE/>
        <w:autoSpaceDN/>
        <w:bidi w:val="0"/>
        <w:adjustRightInd/>
        <w:snapToGrid/>
        <w:spacing w:after="0" w:line="360" w:lineRule="auto"/>
        <w:ind w:right="0" w:rightChars="0" w:firstLine="480" w:firstLineChars="200"/>
        <w:jc w:val="both"/>
        <w:textAlignment w:val="auto"/>
        <w:outlineLvl w:val="9"/>
        <w:rPr>
          <w:rFonts w:hint="eastAsia" w:ascii="Times New Roman" w:hAnsi="Times New Roman" w:cs="Times New Roman"/>
          <w:b w:val="0"/>
          <w:bCs w:val="0"/>
          <w:spacing w:val="0"/>
          <w:w w:val="100"/>
          <w:sz w:val="24"/>
          <w:szCs w:val="24"/>
          <w:lang w:val="en-US" w:eastAsia="zh-CN"/>
        </w:rPr>
      </w:pPr>
      <w:r>
        <w:rPr>
          <w:rFonts w:hint="eastAsia" w:ascii="Times New Roman" w:hAnsi="Times New Roman" w:cs="Times New Roman"/>
          <w:b w:val="0"/>
          <w:bCs w:val="0"/>
          <w:spacing w:val="0"/>
          <w:w w:val="100"/>
          <w:sz w:val="24"/>
          <w:szCs w:val="24"/>
          <w:lang w:val="en-US" w:eastAsia="zh-CN"/>
        </w:rPr>
        <w:t>4、《临沭县发电厂扩建1台75t/h循环流化床锅炉技术改造项目环境影响分析报告》；</w:t>
      </w:r>
    </w:p>
    <w:p>
      <w:pPr>
        <w:pStyle w:val="15"/>
        <w:keepNext w:val="0"/>
        <w:keepLines w:val="0"/>
        <w:pageBreakBefore w:val="0"/>
        <w:widowControl w:val="0"/>
        <w:numPr>
          <w:ilvl w:val="0"/>
          <w:numId w:val="0"/>
        </w:numPr>
        <w:tabs>
          <w:tab w:val="left" w:pos="1185"/>
        </w:tabs>
        <w:kinsoku/>
        <w:wordWrap/>
        <w:overflowPunct/>
        <w:topLinePunct w:val="0"/>
        <w:autoSpaceDE/>
        <w:autoSpaceDN/>
        <w:bidi w:val="0"/>
        <w:adjustRightInd/>
        <w:snapToGrid/>
        <w:spacing w:after="0" w:line="360" w:lineRule="auto"/>
        <w:ind w:right="0" w:rightChars="0" w:firstLine="480" w:firstLineChars="200"/>
        <w:jc w:val="both"/>
        <w:textAlignment w:val="auto"/>
        <w:outlineLvl w:val="9"/>
        <w:rPr>
          <w:rFonts w:hint="default" w:ascii="Times New Roman" w:hAnsi="Times New Roman" w:cs="Times New Roman"/>
          <w:b w:val="0"/>
          <w:bCs w:val="0"/>
          <w:spacing w:val="0"/>
          <w:w w:val="100"/>
          <w:sz w:val="24"/>
          <w:szCs w:val="24"/>
          <w:lang w:val="en-US" w:eastAsia="zh-CN"/>
        </w:rPr>
      </w:pPr>
      <w:r>
        <w:rPr>
          <w:rFonts w:hint="eastAsia" w:ascii="Times New Roman" w:hAnsi="Times New Roman" w:cs="Times New Roman"/>
          <w:b w:val="0"/>
          <w:bCs w:val="0"/>
          <w:spacing w:val="0"/>
          <w:w w:val="100"/>
          <w:sz w:val="24"/>
          <w:szCs w:val="24"/>
          <w:lang w:val="en-US" w:eastAsia="zh-CN"/>
        </w:rPr>
        <w:t>5、临沭县供热服务有限公司关于临沭县光明北路11号原临沭发电厂地块的情况说明；</w:t>
      </w:r>
    </w:p>
    <w:p>
      <w:pPr>
        <w:pStyle w:val="15"/>
        <w:keepNext w:val="0"/>
        <w:keepLines w:val="0"/>
        <w:pageBreakBefore w:val="0"/>
        <w:widowControl w:val="0"/>
        <w:numPr>
          <w:ilvl w:val="0"/>
          <w:numId w:val="0"/>
        </w:numPr>
        <w:tabs>
          <w:tab w:val="left" w:pos="1185"/>
        </w:tabs>
        <w:kinsoku/>
        <w:wordWrap/>
        <w:overflowPunct/>
        <w:topLinePunct w:val="0"/>
        <w:autoSpaceDE/>
        <w:autoSpaceDN/>
        <w:bidi w:val="0"/>
        <w:adjustRightInd/>
        <w:snapToGrid/>
        <w:spacing w:after="0" w:line="360" w:lineRule="auto"/>
        <w:ind w:right="0" w:rightChars="0" w:firstLine="480" w:firstLineChars="200"/>
        <w:jc w:val="both"/>
        <w:textAlignment w:val="auto"/>
        <w:outlineLvl w:val="9"/>
        <w:rPr>
          <w:rFonts w:hint="eastAsia" w:ascii="Times New Roman" w:hAnsi="Times New Roman" w:eastAsia="宋体" w:cs="Times New Roman"/>
          <w:b w:val="0"/>
          <w:bCs w:val="0"/>
          <w:spacing w:val="0"/>
          <w:w w:val="100"/>
          <w:sz w:val="24"/>
          <w:szCs w:val="24"/>
          <w:lang w:val="en-US" w:eastAsia="zh-CN"/>
        </w:rPr>
      </w:pPr>
      <w:r>
        <w:rPr>
          <w:rFonts w:hint="eastAsia" w:ascii="Times New Roman" w:hAnsi="Times New Roman" w:cs="Times New Roman"/>
          <w:b w:val="0"/>
          <w:bCs w:val="0"/>
          <w:spacing w:val="0"/>
          <w:w w:val="100"/>
          <w:sz w:val="24"/>
          <w:szCs w:val="24"/>
          <w:lang w:val="en-US" w:eastAsia="zh-CN"/>
        </w:rPr>
        <w:t>6</w:t>
      </w:r>
      <w:r>
        <w:rPr>
          <w:rFonts w:hint="default" w:ascii="Times New Roman" w:hAnsi="Times New Roman" w:eastAsia="宋体" w:cs="Times New Roman"/>
          <w:b w:val="0"/>
          <w:bCs w:val="0"/>
          <w:spacing w:val="0"/>
          <w:w w:val="100"/>
          <w:sz w:val="24"/>
          <w:szCs w:val="24"/>
          <w:lang w:val="en-US" w:eastAsia="zh-CN"/>
        </w:rPr>
        <w:t>、其他资料</w:t>
      </w:r>
      <w:r>
        <w:rPr>
          <w:rFonts w:hint="eastAsia" w:ascii="Times New Roman" w:hAnsi="Times New Roman" w:eastAsia="宋体" w:cs="Times New Roman"/>
          <w:b w:val="0"/>
          <w:bCs w:val="0"/>
          <w:spacing w:val="0"/>
          <w:w w:val="100"/>
          <w:sz w:val="24"/>
          <w:szCs w:val="24"/>
          <w:lang w:val="en-US" w:eastAsia="zh-CN"/>
        </w:rPr>
        <w:t>。</w:t>
      </w:r>
    </w:p>
    <w:p>
      <w:pPr>
        <w:pStyle w:val="15"/>
        <w:keepNext w:val="0"/>
        <w:keepLines w:val="0"/>
        <w:pageBreakBefore w:val="0"/>
        <w:widowControl w:val="0"/>
        <w:numPr>
          <w:ilvl w:val="0"/>
          <w:numId w:val="0"/>
        </w:numPr>
        <w:tabs>
          <w:tab w:val="left" w:pos="1185"/>
        </w:tabs>
        <w:kinsoku/>
        <w:wordWrap/>
        <w:overflowPunct/>
        <w:topLinePunct w:val="0"/>
        <w:autoSpaceDE/>
        <w:autoSpaceDN/>
        <w:bidi w:val="0"/>
        <w:adjustRightInd/>
        <w:snapToGrid/>
        <w:spacing w:after="0" w:line="360" w:lineRule="auto"/>
        <w:ind w:right="0" w:rightChars="0"/>
        <w:jc w:val="left"/>
        <w:textAlignment w:val="auto"/>
        <w:outlineLvl w:val="1"/>
        <w:rPr>
          <w:rFonts w:hint="eastAsia" w:ascii="Times New Roman" w:hAnsi="Times New Roman" w:eastAsia="宋体" w:cs="Times New Roman"/>
          <w:b w:val="0"/>
          <w:bCs w:val="0"/>
          <w:spacing w:val="0"/>
          <w:w w:val="100"/>
          <w:sz w:val="28"/>
          <w:szCs w:val="28"/>
          <w:lang w:val="en-US" w:eastAsia="zh-CN"/>
        </w:rPr>
      </w:pPr>
      <w:bookmarkStart w:id="24" w:name="_Toc15461"/>
      <w:r>
        <w:rPr>
          <w:rFonts w:hint="default" w:ascii="Times New Roman" w:hAnsi="Times New Roman" w:eastAsia="宋体" w:cs="Times New Roman"/>
          <w:b/>
          <w:bCs/>
          <w:spacing w:val="0"/>
          <w:w w:val="100"/>
          <w:sz w:val="28"/>
          <w:szCs w:val="28"/>
          <w:lang w:val="en-US" w:eastAsia="zh-CN"/>
        </w:rPr>
        <w:t>2</w:t>
      </w:r>
      <w:r>
        <w:rPr>
          <w:rFonts w:hint="eastAsia" w:ascii="Times New Roman" w:hAnsi="Times New Roman" w:eastAsia="宋体" w:cs="Times New Roman"/>
          <w:b/>
          <w:bCs/>
          <w:spacing w:val="0"/>
          <w:w w:val="100"/>
          <w:sz w:val="28"/>
          <w:szCs w:val="28"/>
          <w:lang w:val="en-US" w:eastAsia="zh-CN"/>
        </w:rPr>
        <w:t>.</w:t>
      </w:r>
      <w:r>
        <w:rPr>
          <w:rFonts w:hint="default" w:ascii="Times New Roman" w:hAnsi="Times New Roman" w:eastAsia="宋体" w:cs="Times New Roman"/>
          <w:b/>
          <w:bCs/>
          <w:spacing w:val="0"/>
          <w:w w:val="100"/>
          <w:sz w:val="28"/>
          <w:szCs w:val="28"/>
          <w:lang w:val="en-US" w:eastAsia="zh-CN"/>
        </w:rPr>
        <w:t xml:space="preserve">4 </w:t>
      </w:r>
      <w:r>
        <w:rPr>
          <w:rFonts w:hint="default" w:ascii="Times New Roman" w:hAnsi="Times New Roman" w:eastAsia="宋体" w:cs="Times New Roman"/>
          <w:b/>
          <w:bCs/>
          <w:spacing w:val="0"/>
          <w:w w:val="100"/>
          <w:sz w:val="28"/>
          <w:szCs w:val="28"/>
        </w:rPr>
        <w:t>调查方法</w:t>
      </w:r>
      <w:bookmarkEnd w:id="24"/>
    </w:p>
    <w:p>
      <w:pPr>
        <w:pStyle w:val="15"/>
        <w:keepNext w:val="0"/>
        <w:keepLines w:val="0"/>
        <w:pageBreakBefore w:val="0"/>
        <w:widowControl w:val="0"/>
        <w:numPr>
          <w:ilvl w:val="0"/>
          <w:numId w:val="0"/>
        </w:numPr>
        <w:tabs>
          <w:tab w:val="left" w:pos="1185"/>
        </w:tabs>
        <w:kinsoku/>
        <w:wordWrap/>
        <w:overflowPunct/>
        <w:topLinePunct w:val="0"/>
        <w:autoSpaceDE/>
        <w:autoSpaceDN/>
        <w:bidi w:val="0"/>
        <w:adjustRightInd/>
        <w:snapToGrid/>
        <w:spacing w:after="0" w:line="360" w:lineRule="auto"/>
        <w:ind w:right="0" w:rightChars="0" w:firstLine="480" w:firstLineChars="200"/>
        <w:jc w:val="left"/>
        <w:textAlignment w:val="auto"/>
        <w:outlineLvl w:val="9"/>
        <w:rPr>
          <w:rFonts w:hint="eastAsia" w:ascii="Times New Roman" w:hAnsi="Times New Roman" w:eastAsia="宋体" w:cs="Times New Roman"/>
          <w:b w:val="0"/>
          <w:bCs w:val="0"/>
          <w:spacing w:val="0"/>
          <w:w w:val="100"/>
          <w:sz w:val="24"/>
          <w:szCs w:val="24"/>
          <w:lang w:val="en-US" w:eastAsia="zh-CN"/>
        </w:rPr>
      </w:pPr>
      <w:r>
        <w:rPr>
          <w:rFonts w:hint="eastAsia" w:ascii="Times New Roman" w:hAnsi="Times New Roman" w:eastAsia="宋体" w:cs="Times New Roman"/>
          <w:b w:val="0"/>
          <w:bCs w:val="0"/>
          <w:spacing w:val="0"/>
          <w:w w:val="100"/>
          <w:sz w:val="24"/>
          <w:szCs w:val="24"/>
          <w:lang w:val="en-US" w:eastAsia="zh-CN"/>
        </w:rPr>
        <w:t>根据《建设用地土壤污染状况调查技术导则》（HJ 25</w:t>
      </w:r>
      <w:r>
        <w:rPr>
          <w:rFonts w:hint="eastAsia" w:ascii="Times New Roman" w:hAnsi="Times New Roman" w:cs="Times New Roman"/>
          <w:b w:val="0"/>
          <w:bCs w:val="0"/>
          <w:spacing w:val="0"/>
          <w:w w:val="100"/>
          <w:sz w:val="24"/>
          <w:szCs w:val="24"/>
          <w:lang w:val="en-US" w:eastAsia="zh-CN"/>
        </w:rPr>
        <w:t>.</w:t>
      </w:r>
      <w:r>
        <w:rPr>
          <w:rFonts w:hint="eastAsia" w:ascii="Times New Roman" w:hAnsi="Times New Roman" w:eastAsia="宋体" w:cs="Times New Roman"/>
          <w:b w:val="0"/>
          <w:bCs w:val="0"/>
          <w:spacing w:val="0"/>
          <w:w w:val="100"/>
          <w:sz w:val="24"/>
          <w:szCs w:val="24"/>
          <w:lang w:val="en-US" w:eastAsia="zh-CN"/>
        </w:rPr>
        <w:t>1-2019）的要求，土壤污染状况调查可分为三个阶段。本次调查工作包含第一阶段及第二阶段的土壤污染状况调查。工作程序如图2</w:t>
      </w:r>
      <w:r>
        <w:rPr>
          <w:rFonts w:hint="eastAsia" w:ascii="Times New Roman" w:hAnsi="Times New Roman" w:cs="Times New Roman"/>
          <w:b w:val="0"/>
          <w:bCs w:val="0"/>
          <w:spacing w:val="0"/>
          <w:w w:val="100"/>
          <w:sz w:val="24"/>
          <w:szCs w:val="24"/>
          <w:lang w:val="en-US" w:eastAsia="zh-CN"/>
        </w:rPr>
        <w:t>.</w:t>
      </w:r>
      <w:r>
        <w:rPr>
          <w:rFonts w:hint="eastAsia" w:ascii="Times New Roman" w:hAnsi="Times New Roman" w:eastAsia="宋体" w:cs="Times New Roman"/>
          <w:b w:val="0"/>
          <w:bCs w:val="0"/>
          <w:spacing w:val="0"/>
          <w:w w:val="100"/>
          <w:sz w:val="24"/>
          <w:szCs w:val="24"/>
          <w:lang w:val="en-US" w:eastAsia="zh-CN"/>
        </w:rPr>
        <w:t>4-1所示。</w:t>
      </w:r>
    </w:p>
    <w:bookmarkEnd w:id="13"/>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5"/>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jc w:val="both"/>
              <w:textAlignment w:val="auto"/>
              <w:rPr>
                <w:rFonts w:hint="default" w:ascii="Times New Roman" w:hAnsi="Times New Roman" w:eastAsia="宋体" w:cs="Times New Roman"/>
                <w:b/>
                <w:spacing w:val="0"/>
                <w:w w:val="100"/>
                <w:sz w:val="21"/>
                <w:szCs w:val="21"/>
                <w:vertAlign w:val="baseline"/>
                <w:lang w:eastAsia="zh-CN"/>
              </w:rPr>
            </w:pPr>
            <w:r>
              <w:rPr>
                <w:rFonts w:hint="default" w:ascii="Times New Roman" w:hAnsi="Times New Roman" w:eastAsia="宋体" w:cs="Times New Roman"/>
                <w:b/>
                <w:spacing w:val="0"/>
                <w:w w:val="100"/>
                <w:sz w:val="21"/>
                <w:szCs w:val="21"/>
                <w:vertAlign w:val="baseline"/>
                <w:lang w:eastAsia="zh-CN"/>
              </w:rPr>
              <w:drawing>
                <wp:inline distT="0" distB="0" distL="114300" distR="114300">
                  <wp:extent cx="5273040" cy="5581650"/>
                  <wp:effectExtent l="0" t="0" r="3810" b="0"/>
                  <wp:docPr id="19" name="图片 19" descr="1597297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97297284(1)"/>
                          <pic:cNvPicPr>
                            <a:picLocks noChangeAspect="1"/>
                          </pic:cNvPicPr>
                        </pic:nvPicPr>
                        <pic:blipFill>
                          <a:blip r:embed="rId8"/>
                          <a:stretch>
                            <a:fillRect/>
                          </a:stretch>
                        </pic:blipFill>
                        <pic:spPr>
                          <a:xfrm>
                            <a:off x="0" y="0"/>
                            <a:ext cx="5273040" cy="5581650"/>
                          </a:xfrm>
                          <a:prstGeom prst="rect">
                            <a:avLst/>
                          </a:prstGeom>
                        </pic:spPr>
                      </pic:pic>
                    </a:graphicData>
                  </a:graphic>
                </wp:inline>
              </w:drawing>
            </w:r>
          </w:p>
        </w:tc>
      </w:tr>
    </w:tbl>
    <w:p>
      <w:pPr>
        <w:pStyle w:val="5"/>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jc w:val="center"/>
        <w:textAlignment w:val="auto"/>
        <w:rPr>
          <w:rFonts w:hint="default" w:ascii="Times New Roman" w:hAnsi="Times New Roman" w:eastAsia="宋体" w:cs="Times New Roman"/>
          <w:b/>
          <w:spacing w:val="0"/>
          <w:w w:val="100"/>
          <w:sz w:val="21"/>
          <w:szCs w:val="21"/>
        </w:rPr>
      </w:pPr>
      <w:r>
        <w:rPr>
          <w:rFonts w:hint="default" w:ascii="Times New Roman" w:hAnsi="Times New Roman" w:eastAsia="宋体" w:cs="Times New Roman"/>
          <w:b/>
          <w:spacing w:val="0"/>
          <w:w w:val="100"/>
          <w:sz w:val="21"/>
          <w:szCs w:val="21"/>
        </w:rPr>
        <w:t xml:space="preserve">图 </w:t>
      </w:r>
      <w:r>
        <w:rPr>
          <w:rFonts w:hint="default" w:ascii="Times New Roman" w:hAnsi="Times New Roman" w:eastAsia="宋体" w:cs="Times New Roman"/>
          <w:b/>
          <w:spacing w:val="0"/>
          <w:w w:val="100"/>
          <w:sz w:val="21"/>
          <w:szCs w:val="21"/>
          <w:lang w:val="en-US" w:eastAsia="zh-CN"/>
        </w:rPr>
        <w:t>2</w:t>
      </w:r>
      <w:r>
        <w:rPr>
          <w:rFonts w:hint="eastAsia" w:ascii="Times New Roman" w:hAnsi="Times New Roman" w:cs="Times New Roman"/>
          <w:b/>
          <w:spacing w:val="0"/>
          <w:w w:val="100"/>
          <w:sz w:val="21"/>
          <w:szCs w:val="21"/>
          <w:lang w:val="en-US" w:eastAsia="zh-CN"/>
        </w:rPr>
        <w:t>.</w:t>
      </w:r>
      <w:r>
        <w:rPr>
          <w:rFonts w:hint="default" w:ascii="Times New Roman" w:hAnsi="Times New Roman" w:eastAsia="宋体" w:cs="Times New Roman"/>
          <w:b/>
          <w:spacing w:val="0"/>
          <w:w w:val="100"/>
          <w:sz w:val="21"/>
          <w:szCs w:val="21"/>
          <w:lang w:val="en-US" w:eastAsia="zh-CN"/>
        </w:rPr>
        <w:t>4</w:t>
      </w:r>
      <w:r>
        <w:rPr>
          <w:rFonts w:hint="default" w:ascii="Times New Roman" w:hAnsi="Times New Roman" w:eastAsia="宋体" w:cs="Times New Roman"/>
          <w:b/>
          <w:spacing w:val="0"/>
          <w:w w:val="100"/>
          <w:sz w:val="21"/>
          <w:szCs w:val="21"/>
        </w:rPr>
        <w:t>-</w:t>
      </w:r>
      <w:r>
        <w:rPr>
          <w:rFonts w:hint="default" w:ascii="Times New Roman" w:hAnsi="Times New Roman" w:eastAsia="宋体" w:cs="Times New Roman"/>
          <w:b/>
          <w:spacing w:val="0"/>
          <w:w w:val="100"/>
          <w:sz w:val="21"/>
          <w:szCs w:val="21"/>
          <w:lang w:val="en-US" w:eastAsia="zh-CN"/>
        </w:rPr>
        <w:t>1</w:t>
      </w:r>
      <w:r>
        <w:rPr>
          <w:rFonts w:hint="default" w:ascii="Times New Roman" w:hAnsi="Times New Roman" w:eastAsia="宋体" w:cs="Times New Roman"/>
          <w:b/>
          <w:spacing w:val="0"/>
          <w:w w:val="100"/>
          <w:sz w:val="21"/>
          <w:szCs w:val="21"/>
        </w:rPr>
        <w:t xml:space="preserve"> 土壤污染状况调查工作程序</w:t>
      </w:r>
    </w:p>
    <w:p>
      <w:pPr>
        <w:pStyle w:val="4"/>
        <w:keepNext w:val="0"/>
        <w:keepLines w:val="0"/>
        <w:pageBreakBefore w:val="0"/>
        <w:widowControl w:val="0"/>
        <w:numPr>
          <w:ilvl w:val="0"/>
          <w:numId w:val="0"/>
        </w:numPr>
        <w:tabs>
          <w:tab w:val="left" w:pos="2309"/>
        </w:tabs>
        <w:kinsoku/>
        <w:wordWrap/>
        <w:overflowPunct/>
        <w:topLinePunct w:val="0"/>
        <w:autoSpaceDE w:val="0"/>
        <w:autoSpaceDN w:val="0"/>
        <w:bidi w:val="0"/>
        <w:adjustRightInd/>
        <w:snapToGrid/>
        <w:spacing w:before="0" w:beforeAutospacing="0" w:after="0" w:afterAutospacing="0" w:line="360" w:lineRule="auto"/>
        <w:ind w:right="0" w:rightChars="0"/>
        <w:jc w:val="both"/>
        <w:textAlignment w:val="auto"/>
        <w:outlineLvl w:val="2"/>
        <w:rPr>
          <w:rFonts w:hint="default" w:ascii="Times New Roman" w:hAnsi="Times New Roman" w:eastAsia="宋体" w:cs="Times New Roman"/>
          <w:spacing w:val="0"/>
          <w:w w:val="100"/>
          <w:sz w:val="24"/>
          <w:szCs w:val="24"/>
        </w:rPr>
      </w:pPr>
      <w:bookmarkStart w:id="25" w:name="_Toc32317"/>
      <w:r>
        <w:rPr>
          <w:rFonts w:hint="default" w:ascii="Times New Roman" w:hAnsi="Times New Roman" w:eastAsia="宋体" w:cs="Times New Roman"/>
          <w:spacing w:val="0"/>
          <w:w w:val="100"/>
          <w:sz w:val="24"/>
          <w:szCs w:val="24"/>
          <w:lang w:val="en-US" w:eastAsia="zh-CN"/>
        </w:rPr>
        <w:t>2</w:t>
      </w:r>
      <w:r>
        <w:rPr>
          <w:rFonts w:hint="eastAsia" w:ascii="Times New Roman" w:hAnsi="Times New Roman" w:cs="Times New Roman"/>
          <w:spacing w:val="0"/>
          <w:w w:val="100"/>
          <w:sz w:val="24"/>
          <w:szCs w:val="24"/>
          <w:lang w:val="en-US" w:eastAsia="zh-CN"/>
        </w:rPr>
        <w:t>.</w:t>
      </w:r>
      <w:r>
        <w:rPr>
          <w:rFonts w:hint="default" w:ascii="Times New Roman" w:hAnsi="Times New Roman" w:eastAsia="宋体" w:cs="Times New Roman"/>
          <w:spacing w:val="0"/>
          <w:w w:val="100"/>
          <w:sz w:val="24"/>
          <w:szCs w:val="24"/>
          <w:lang w:val="en-US" w:eastAsia="zh-CN"/>
        </w:rPr>
        <w:t>4</w:t>
      </w:r>
      <w:r>
        <w:rPr>
          <w:rFonts w:hint="eastAsia" w:ascii="Times New Roman" w:hAnsi="Times New Roman" w:cs="Times New Roman"/>
          <w:spacing w:val="0"/>
          <w:w w:val="100"/>
          <w:sz w:val="24"/>
          <w:szCs w:val="24"/>
          <w:lang w:val="en-US" w:eastAsia="zh-CN"/>
        </w:rPr>
        <w:t>.</w:t>
      </w:r>
      <w:r>
        <w:rPr>
          <w:rFonts w:hint="default" w:ascii="Times New Roman" w:hAnsi="Times New Roman" w:eastAsia="宋体" w:cs="Times New Roman"/>
          <w:spacing w:val="0"/>
          <w:w w:val="100"/>
          <w:sz w:val="24"/>
          <w:szCs w:val="24"/>
          <w:lang w:val="en-US" w:eastAsia="zh-CN"/>
        </w:rPr>
        <w:t xml:space="preserve">1 </w:t>
      </w:r>
      <w:r>
        <w:rPr>
          <w:rFonts w:hint="default" w:ascii="Times New Roman" w:hAnsi="Times New Roman" w:eastAsia="宋体" w:cs="Times New Roman"/>
          <w:spacing w:val="0"/>
          <w:w w:val="100"/>
          <w:sz w:val="24"/>
          <w:szCs w:val="24"/>
        </w:rPr>
        <w:t>第一阶段土壤污染状况调查</w:t>
      </w:r>
      <w:bookmarkEnd w:id="25"/>
    </w:p>
    <w:p>
      <w:pPr>
        <w:pStyle w:val="5"/>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right="0" w:firstLine="480" w:firstLineChars="200"/>
        <w:jc w:val="both"/>
        <w:textAlignment w:val="auto"/>
        <w:rPr>
          <w:rFonts w:hint="default" w:ascii="Times New Roman" w:hAnsi="Times New Roman" w:eastAsia="宋体" w:cs="Times New Roman"/>
          <w:spacing w:val="0"/>
          <w:w w:val="100"/>
          <w:sz w:val="24"/>
          <w:szCs w:val="24"/>
        </w:rPr>
      </w:pPr>
      <w:r>
        <w:rPr>
          <w:rFonts w:hint="default" w:ascii="Times New Roman" w:hAnsi="Times New Roman" w:eastAsia="宋体" w:cs="Times New Roman"/>
          <w:spacing w:val="0"/>
          <w:w w:val="100"/>
          <w:sz w:val="24"/>
          <w:szCs w:val="24"/>
        </w:rPr>
        <w:t>第一阶段土壤污染状况调查是以资料收集、现场踏勘和人员访谈为主的污染识别阶段，原则上不进行现场采样分析。若第一阶段调查确认地块内及周围区域当前和历史上均无可能的污染源，则认为项目地块的环境状况可以接受，调查活动可以结束。</w:t>
      </w:r>
    </w:p>
    <w:p>
      <w:pPr>
        <w:pStyle w:val="5"/>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right="0" w:firstLine="480" w:firstLineChars="200"/>
        <w:jc w:val="both"/>
        <w:textAlignment w:val="auto"/>
        <w:rPr>
          <w:rFonts w:hint="default" w:ascii="Times New Roman" w:hAnsi="Times New Roman" w:eastAsia="宋体" w:cs="Times New Roman"/>
          <w:spacing w:val="0"/>
          <w:w w:val="100"/>
          <w:sz w:val="24"/>
          <w:szCs w:val="24"/>
        </w:rPr>
      </w:pPr>
      <w:r>
        <w:rPr>
          <w:rFonts w:hint="default" w:ascii="Times New Roman" w:hAnsi="Times New Roman" w:eastAsia="宋体" w:cs="Times New Roman"/>
          <w:spacing w:val="0"/>
          <w:w w:val="100"/>
          <w:sz w:val="24"/>
          <w:szCs w:val="24"/>
        </w:rPr>
        <w:t>我公司接受委托后，第一时间成立了调查组，对项目地块进行了现场踏勘，然后通过网络途径查询相关资料，并对地块内及周边相关人员进行访谈，然后进行第二次现场踏勘。依托上述材料，明确了项目地块内及周围区域存在的污染源，应通过采样与分析确定污染物种类、含量（程度）和空间分布，实施第二阶段土壤污染状况调查。</w:t>
      </w:r>
    </w:p>
    <w:p>
      <w:pPr>
        <w:pStyle w:val="4"/>
        <w:keepNext w:val="0"/>
        <w:keepLines w:val="0"/>
        <w:pageBreakBefore w:val="0"/>
        <w:widowControl w:val="0"/>
        <w:numPr>
          <w:ilvl w:val="0"/>
          <w:numId w:val="0"/>
        </w:numPr>
        <w:tabs>
          <w:tab w:val="left" w:pos="2309"/>
        </w:tabs>
        <w:kinsoku/>
        <w:wordWrap/>
        <w:overflowPunct/>
        <w:topLinePunct w:val="0"/>
        <w:autoSpaceDE w:val="0"/>
        <w:autoSpaceDN w:val="0"/>
        <w:bidi w:val="0"/>
        <w:adjustRightInd/>
        <w:snapToGrid/>
        <w:spacing w:before="0" w:beforeAutospacing="0" w:after="0" w:afterAutospacing="0" w:line="360" w:lineRule="auto"/>
        <w:ind w:leftChars="0" w:right="0" w:rightChars="0"/>
        <w:jc w:val="both"/>
        <w:textAlignment w:val="auto"/>
        <w:outlineLvl w:val="2"/>
        <w:rPr>
          <w:rFonts w:hint="default" w:ascii="Times New Roman" w:hAnsi="Times New Roman" w:eastAsia="宋体" w:cs="Times New Roman"/>
          <w:spacing w:val="0"/>
          <w:w w:val="100"/>
          <w:sz w:val="24"/>
          <w:szCs w:val="24"/>
        </w:rPr>
      </w:pPr>
      <w:bookmarkStart w:id="26" w:name="_bookmark14"/>
      <w:bookmarkEnd w:id="26"/>
      <w:bookmarkStart w:id="27" w:name="_Toc26113"/>
      <w:r>
        <w:rPr>
          <w:rFonts w:hint="default" w:ascii="Times New Roman" w:hAnsi="Times New Roman" w:eastAsia="宋体" w:cs="Times New Roman"/>
          <w:spacing w:val="0"/>
          <w:w w:val="100"/>
          <w:sz w:val="24"/>
          <w:szCs w:val="24"/>
          <w:lang w:val="en-US" w:eastAsia="zh-CN"/>
        </w:rPr>
        <w:t>2</w:t>
      </w:r>
      <w:r>
        <w:rPr>
          <w:rFonts w:hint="eastAsia" w:ascii="Times New Roman" w:hAnsi="Times New Roman" w:cs="Times New Roman"/>
          <w:spacing w:val="0"/>
          <w:w w:val="100"/>
          <w:sz w:val="24"/>
          <w:szCs w:val="24"/>
          <w:lang w:val="en-US" w:eastAsia="zh-CN"/>
        </w:rPr>
        <w:t>.</w:t>
      </w:r>
      <w:r>
        <w:rPr>
          <w:rFonts w:hint="default" w:ascii="Times New Roman" w:hAnsi="Times New Roman" w:eastAsia="宋体" w:cs="Times New Roman"/>
          <w:spacing w:val="0"/>
          <w:w w:val="100"/>
          <w:sz w:val="24"/>
          <w:szCs w:val="24"/>
          <w:lang w:val="en-US" w:eastAsia="zh-CN"/>
        </w:rPr>
        <w:t>4</w:t>
      </w:r>
      <w:r>
        <w:rPr>
          <w:rFonts w:hint="eastAsia" w:ascii="Times New Roman" w:hAnsi="Times New Roman" w:cs="Times New Roman"/>
          <w:spacing w:val="0"/>
          <w:w w:val="100"/>
          <w:sz w:val="24"/>
          <w:szCs w:val="24"/>
          <w:lang w:val="en-US" w:eastAsia="zh-CN"/>
        </w:rPr>
        <w:t>.</w:t>
      </w:r>
      <w:r>
        <w:rPr>
          <w:rFonts w:hint="default" w:ascii="Times New Roman" w:hAnsi="Times New Roman" w:eastAsia="宋体" w:cs="Times New Roman"/>
          <w:spacing w:val="0"/>
          <w:w w:val="100"/>
          <w:sz w:val="24"/>
          <w:szCs w:val="24"/>
          <w:lang w:val="en-US" w:eastAsia="zh-CN"/>
        </w:rPr>
        <w:t xml:space="preserve">2 </w:t>
      </w:r>
      <w:r>
        <w:rPr>
          <w:rFonts w:hint="default" w:ascii="Times New Roman" w:hAnsi="Times New Roman" w:eastAsia="宋体" w:cs="Times New Roman"/>
          <w:spacing w:val="0"/>
          <w:w w:val="100"/>
          <w:sz w:val="24"/>
          <w:szCs w:val="24"/>
        </w:rPr>
        <w:t>第二阶段土壤污染状况调查</w:t>
      </w:r>
      <w:bookmarkEnd w:id="27"/>
    </w:p>
    <w:p>
      <w:pPr>
        <w:pStyle w:val="15"/>
        <w:keepNext w:val="0"/>
        <w:keepLines w:val="0"/>
        <w:pageBreakBefore w:val="0"/>
        <w:widowControl w:val="0"/>
        <w:numPr>
          <w:ilvl w:val="0"/>
          <w:numId w:val="0"/>
        </w:numPr>
        <w:tabs>
          <w:tab w:val="left" w:pos="2761"/>
        </w:tabs>
        <w:kinsoku/>
        <w:wordWrap/>
        <w:overflowPunct/>
        <w:topLinePunct w:val="0"/>
        <w:autoSpaceDE w:val="0"/>
        <w:autoSpaceDN w:val="0"/>
        <w:bidi w:val="0"/>
        <w:adjustRightInd/>
        <w:snapToGrid/>
        <w:spacing w:beforeAutospacing="0" w:afterAutospacing="0" w:line="360" w:lineRule="auto"/>
        <w:ind w:leftChars="0" w:right="0" w:rightChars="0" w:firstLine="480" w:firstLineChars="200"/>
        <w:jc w:val="both"/>
        <w:textAlignment w:val="auto"/>
        <w:rPr>
          <w:rFonts w:hint="default" w:ascii="Times New Roman" w:hAnsi="Times New Roman" w:eastAsia="宋体" w:cs="Times New Roman"/>
          <w:spacing w:val="0"/>
          <w:w w:val="100"/>
          <w:sz w:val="24"/>
          <w:szCs w:val="24"/>
        </w:rPr>
      </w:pPr>
      <w:r>
        <w:rPr>
          <w:rFonts w:hint="default" w:ascii="Times New Roman" w:hAnsi="Times New Roman" w:eastAsia="宋体" w:cs="Times New Roman"/>
          <w:spacing w:val="0"/>
          <w:w w:val="100"/>
          <w:sz w:val="24"/>
          <w:szCs w:val="24"/>
        </w:rPr>
        <w:t>第二阶段土壤污染状况调查是以采样与分析为主的污染证实阶段，若第一阶段土壤污染状况调查表明项目地块内或周围区域存在可能的污染源，如化工厂、农药厂、冶炼厂、加油站、化学品储罐、固体废物处理等可能产生有毒有害物质的设施或活动；以及由于资料缺失等原因无法排除项目地块内外存在污染源时，作为潜在污染地块进行第二阶段土壤污染状况调查，确定污染物种类、含量（程度）和空间分布。</w:t>
      </w:r>
    </w:p>
    <w:p>
      <w:pPr>
        <w:pStyle w:val="15"/>
        <w:keepNext w:val="0"/>
        <w:keepLines w:val="0"/>
        <w:pageBreakBefore w:val="0"/>
        <w:widowControl w:val="0"/>
        <w:numPr>
          <w:ilvl w:val="0"/>
          <w:numId w:val="0"/>
        </w:numPr>
        <w:tabs>
          <w:tab w:val="left" w:pos="2761"/>
        </w:tabs>
        <w:kinsoku/>
        <w:wordWrap/>
        <w:overflowPunct/>
        <w:topLinePunct w:val="0"/>
        <w:autoSpaceDE w:val="0"/>
        <w:autoSpaceDN w:val="0"/>
        <w:bidi w:val="0"/>
        <w:adjustRightInd/>
        <w:snapToGrid/>
        <w:spacing w:beforeAutospacing="0" w:afterAutospacing="0" w:line="360" w:lineRule="auto"/>
        <w:ind w:leftChars="0" w:right="0" w:rightChars="0" w:firstLine="480" w:firstLineChars="200"/>
        <w:jc w:val="both"/>
        <w:textAlignment w:val="auto"/>
        <w:rPr>
          <w:rFonts w:hint="default" w:ascii="Times New Roman" w:hAnsi="Times New Roman" w:eastAsia="宋体" w:cs="Times New Roman"/>
          <w:spacing w:val="0"/>
          <w:w w:val="100"/>
          <w:sz w:val="24"/>
          <w:szCs w:val="24"/>
        </w:rPr>
      </w:pPr>
      <w:r>
        <w:rPr>
          <w:rFonts w:hint="default" w:ascii="Times New Roman" w:hAnsi="Times New Roman" w:eastAsia="宋体" w:cs="Times New Roman"/>
          <w:spacing w:val="0"/>
          <w:w w:val="100"/>
          <w:sz w:val="24"/>
          <w:szCs w:val="24"/>
        </w:rPr>
        <w:t>第二阶段土壤污染状况调查通常可以分为初步采样分析和详细采样分析两步进行，每步均包括制定工作计划、现场采样、数据评估和结果分析等步骤。初步采样分析和详细采样分析均可根据实际情况分批次实施，逐步减少调查的不确定性。</w:t>
      </w:r>
    </w:p>
    <w:p>
      <w:pPr>
        <w:pStyle w:val="15"/>
        <w:keepNext w:val="0"/>
        <w:keepLines w:val="0"/>
        <w:pageBreakBefore w:val="0"/>
        <w:widowControl w:val="0"/>
        <w:numPr>
          <w:ilvl w:val="0"/>
          <w:numId w:val="0"/>
        </w:numPr>
        <w:tabs>
          <w:tab w:val="left" w:pos="2761"/>
        </w:tabs>
        <w:kinsoku/>
        <w:wordWrap/>
        <w:overflowPunct/>
        <w:topLinePunct w:val="0"/>
        <w:autoSpaceDE w:val="0"/>
        <w:autoSpaceDN w:val="0"/>
        <w:bidi w:val="0"/>
        <w:adjustRightInd/>
        <w:snapToGrid/>
        <w:spacing w:beforeAutospacing="0" w:afterAutospacing="0" w:line="360" w:lineRule="auto"/>
        <w:ind w:leftChars="0" w:right="0" w:rightChars="0" w:firstLine="480" w:firstLineChars="200"/>
        <w:jc w:val="both"/>
        <w:textAlignment w:val="auto"/>
        <w:rPr>
          <w:rFonts w:hint="default" w:ascii="Times New Roman" w:hAnsi="Times New Roman" w:eastAsia="宋体" w:cs="Times New Roman"/>
          <w:spacing w:val="0"/>
          <w:w w:val="100"/>
          <w:sz w:val="24"/>
          <w:szCs w:val="24"/>
        </w:rPr>
      </w:pPr>
      <w:r>
        <w:rPr>
          <w:rFonts w:hint="default" w:ascii="Times New Roman" w:hAnsi="Times New Roman" w:eastAsia="宋体" w:cs="Times New Roman"/>
          <w:spacing w:val="0"/>
          <w:w w:val="100"/>
          <w:sz w:val="24"/>
          <w:szCs w:val="24"/>
        </w:rPr>
        <w:t>根据初步采样分析结果，如果污染物含量均未超过国家和地方等相关标准以及清洁对照点含量（有土壤环境背景的无机物），并且经过不确定性分析确认不需要进一步调查后，第二阶段土壤污染状况调查工作可以结束，否则认为可能存在环境风险，须进行详细调查。详细采样分析是在初步采样分析的基础上， 进一步采样和分析，确定项目地块污染程度和范围。</w:t>
      </w:r>
    </w:p>
    <w:p>
      <w:pPr>
        <w:pStyle w:val="5"/>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spacing w:val="0"/>
          <w:w w:val="100"/>
          <w:sz w:val="24"/>
          <w:szCs w:val="24"/>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宋体" w:cs="Times New Roman"/>
          <w:spacing w:val="0"/>
          <w:w w:val="100"/>
          <w:sz w:val="24"/>
          <w:szCs w:val="24"/>
        </w:rPr>
        <w:t>我公司在第一阶段土壤污染状况调查的基础上，对可能受到项目地块及周边污染源影响的土壤和地下水进行现场快速检测及采样分析，</w:t>
      </w:r>
      <w:r>
        <w:rPr>
          <w:rFonts w:hint="eastAsia" w:ascii="Times New Roman" w:hAnsi="Times New Roman" w:cs="Times New Roman"/>
          <w:spacing w:val="0"/>
          <w:w w:val="100"/>
          <w:sz w:val="24"/>
          <w:szCs w:val="24"/>
          <w:lang w:val="en-US" w:eastAsia="zh-CN"/>
        </w:rPr>
        <w:t>地块内</w:t>
      </w:r>
      <w:r>
        <w:rPr>
          <w:rFonts w:hint="default" w:ascii="Times New Roman" w:hAnsi="Times New Roman" w:eastAsia="宋体" w:cs="Times New Roman"/>
          <w:spacing w:val="0"/>
          <w:w w:val="100"/>
          <w:sz w:val="24"/>
          <w:szCs w:val="24"/>
        </w:rPr>
        <w:t>共设置</w:t>
      </w:r>
      <w:r>
        <w:rPr>
          <w:rFonts w:hint="eastAsia" w:ascii="Times New Roman" w:hAnsi="Times New Roman" w:cs="Times New Roman"/>
          <w:spacing w:val="0"/>
          <w:w w:val="100"/>
          <w:sz w:val="24"/>
          <w:szCs w:val="24"/>
          <w:lang w:val="en-US" w:eastAsia="zh-CN"/>
        </w:rPr>
        <w:t>8</w:t>
      </w:r>
      <w:r>
        <w:rPr>
          <w:rFonts w:hint="default" w:ascii="Times New Roman" w:hAnsi="Times New Roman" w:eastAsia="宋体" w:cs="Times New Roman"/>
          <w:spacing w:val="0"/>
          <w:w w:val="100"/>
          <w:sz w:val="24"/>
          <w:szCs w:val="24"/>
        </w:rPr>
        <w:t>处土壤检测点位</w:t>
      </w:r>
      <w:r>
        <w:rPr>
          <w:rFonts w:hint="eastAsia" w:ascii="Times New Roman" w:hAnsi="Times New Roman" w:cs="Times New Roman"/>
          <w:spacing w:val="0"/>
          <w:w w:val="100"/>
          <w:sz w:val="24"/>
          <w:szCs w:val="24"/>
          <w:lang w:eastAsia="zh-CN"/>
        </w:rPr>
        <w:t>，</w:t>
      </w:r>
      <w:r>
        <w:rPr>
          <w:rFonts w:hint="eastAsia" w:ascii="Times New Roman" w:hAnsi="Times New Roman" w:cs="Times New Roman"/>
          <w:spacing w:val="0"/>
          <w:w w:val="100"/>
          <w:sz w:val="24"/>
          <w:szCs w:val="24"/>
          <w:lang w:val="en-US" w:eastAsia="zh-CN"/>
        </w:rPr>
        <w:t>地块外设置1处土壤柱状土对照点位和6处表层土对照点位</w:t>
      </w:r>
      <w:r>
        <w:rPr>
          <w:rFonts w:hint="default" w:ascii="Times New Roman" w:hAnsi="Times New Roman" w:eastAsia="宋体" w:cs="Times New Roman"/>
          <w:spacing w:val="0"/>
          <w:w w:val="100"/>
          <w:sz w:val="24"/>
          <w:szCs w:val="24"/>
        </w:rPr>
        <w:t>，现场快速筛查及实验室分析结果表明：该地块污染物含量均未超过国家和地方等相关标准。因此，无需开展详细采样分析和第三阶段土壤污染状况调查。</w:t>
      </w:r>
      <w:bookmarkStart w:id="28" w:name="_bookmark15"/>
      <w:bookmarkEnd w:id="28"/>
    </w:p>
    <w:p>
      <w:pPr>
        <w:pStyle w:val="2"/>
        <w:pageBreakBefore w:val="0"/>
        <w:numPr>
          <w:ilvl w:val="0"/>
          <w:numId w:val="0"/>
        </w:numPr>
        <w:tabs>
          <w:tab w:val="left" w:pos="4036"/>
          <w:tab w:val="left" w:pos="4037"/>
        </w:tabs>
        <w:kinsoku/>
        <w:wordWrap/>
        <w:overflowPunct/>
        <w:topLinePunct w:val="0"/>
        <w:bidi w:val="0"/>
        <w:spacing w:before="0" w:line="360" w:lineRule="auto"/>
        <w:ind w:right="0" w:rightChars="0"/>
        <w:jc w:val="center"/>
        <w:outlineLvl w:val="0"/>
        <w:rPr>
          <w:rFonts w:hint="default" w:ascii="Times New Roman" w:hAnsi="Times New Roman" w:eastAsia="宋体" w:cs="Times New Roman"/>
          <w:b/>
          <w:bCs/>
          <w:spacing w:val="0"/>
          <w:w w:val="100"/>
          <w:sz w:val="32"/>
          <w:szCs w:val="32"/>
        </w:rPr>
      </w:pPr>
      <w:bookmarkStart w:id="29" w:name="_Toc11475"/>
      <w:r>
        <w:rPr>
          <w:rFonts w:hint="eastAsia" w:ascii="Times New Roman" w:hAnsi="Times New Roman" w:eastAsia="宋体" w:cs="Times New Roman"/>
          <w:b/>
          <w:bCs/>
          <w:spacing w:val="0"/>
          <w:w w:val="100"/>
          <w:sz w:val="32"/>
          <w:szCs w:val="32"/>
          <w:lang w:val="en-US" w:eastAsia="zh-CN"/>
        </w:rPr>
        <w:t>3</w:t>
      </w:r>
      <w:r>
        <w:rPr>
          <w:rFonts w:hint="default" w:ascii="Times New Roman" w:hAnsi="Times New Roman" w:eastAsia="宋体" w:cs="Times New Roman"/>
          <w:b/>
          <w:bCs/>
          <w:spacing w:val="0"/>
          <w:w w:val="100"/>
          <w:sz w:val="32"/>
          <w:szCs w:val="32"/>
        </w:rPr>
        <w:t>结论和建议</w:t>
      </w:r>
      <w:bookmarkEnd w:id="29"/>
    </w:p>
    <w:p>
      <w:pPr>
        <w:pStyle w:val="3"/>
        <w:pageBreakBefore w:val="0"/>
        <w:numPr>
          <w:ilvl w:val="0"/>
          <w:numId w:val="0"/>
        </w:numPr>
        <w:tabs>
          <w:tab w:val="left" w:pos="1041"/>
        </w:tabs>
        <w:kinsoku/>
        <w:wordWrap/>
        <w:overflowPunct/>
        <w:topLinePunct w:val="0"/>
        <w:bidi w:val="0"/>
        <w:spacing w:before="0" w:after="0" w:line="240" w:lineRule="auto"/>
        <w:ind w:right="0" w:rightChars="0"/>
        <w:jc w:val="left"/>
        <w:outlineLvl w:val="1"/>
        <w:rPr>
          <w:rFonts w:hint="default" w:ascii="Times New Roman" w:hAnsi="Times New Roman" w:eastAsia="宋体" w:cs="Times New Roman"/>
          <w:b/>
          <w:bCs/>
          <w:spacing w:val="0"/>
          <w:w w:val="100"/>
          <w:sz w:val="28"/>
          <w:szCs w:val="28"/>
        </w:rPr>
      </w:pPr>
      <w:bookmarkStart w:id="30" w:name="_bookmark34"/>
      <w:bookmarkEnd w:id="30"/>
      <w:bookmarkStart w:id="31" w:name="_bookmark34"/>
      <w:bookmarkEnd w:id="31"/>
      <w:bookmarkStart w:id="32" w:name="_Toc15819"/>
      <w:bookmarkStart w:id="33" w:name="_Toc11872"/>
      <w:r>
        <w:rPr>
          <w:rFonts w:hint="eastAsia" w:ascii="Times New Roman" w:hAnsi="Times New Roman" w:eastAsia="宋体" w:cs="Times New Roman"/>
          <w:b/>
          <w:bCs/>
          <w:spacing w:val="0"/>
          <w:w w:val="100"/>
          <w:sz w:val="28"/>
          <w:szCs w:val="28"/>
          <w:lang w:val="en-US" w:eastAsia="zh-CN"/>
        </w:rPr>
        <w:t>3.</w:t>
      </w:r>
      <w:r>
        <w:rPr>
          <w:rFonts w:hint="default" w:ascii="Times New Roman" w:hAnsi="Times New Roman" w:eastAsia="宋体" w:cs="Times New Roman"/>
          <w:b/>
          <w:bCs/>
          <w:spacing w:val="0"/>
          <w:w w:val="100"/>
          <w:sz w:val="28"/>
          <w:szCs w:val="28"/>
          <w:lang w:val="en-US" w:eastAsia="zh-CN"/>
        </w:rPr>
        <w:t>1</w:t>
      </w:r>
      <w:r>
        <w:rPr>
          <w:rFonts w:hint="default" w:ascii="Times New Roman" w:hAnsi="Times New Roman" w:eastAsia="宋体" w:cs="Times New Roman"/>
          <w:b/>
          <w:bCs/>
          <w:spacing w:val="0"/>
          <w:w w:val="100"/>
          <w:sz w:val="28"/>
          <w:szCs w:val="28"/>
        </w:rPr>
        <w:t>结论</w:t>
      </w:r>
      <w:bookmarkEnd w:id="32"/>
      <w:bookmarkEnd w:id="33"/>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pacing w:val="0"/>
          <w:w w:val="100"/>
          <w:kern w:val="0"/>
          <w:sz w:val="24"/>
          <w:szCs w:val="24"/>
          <w:lang w:val="en-US" w:eastAsia="zh-CN" w:bidi="ar"/>
        </w:rPr>
      </w:pPr>
      <w:r>
        <w:rPr>
          <w:rFonts w:hint="default" w:ascii="Times New Roman" w:hAnsi="Times New Roman" w:eastAsia="宋体" w:cs="Times New Roman"/>
          <w:color w:val="000000"/>
          <w:spacing w:val="0"/>
          <w:w w:val="100"/>
          <w:kern w:val="0"/>
          <w:sz w:val="24"/>
          <w:szCs w:val="24"/>
          <w:lang w:val="en-US" w:eastAsia="zh-CN" w:bidi="ar"/>
        </w:rPr>
        <w:t>根据环保部加强污染地块管理和相关导则的要求，</w:t>
      </w:r>
      <w:r>
        <w:rPr>
          <w:rFonts w:hint="eastAsia" w:ascii="Times New Roman" w:hAnsi="Times New Roman" w:eastAsia="宋体" w:cs="Times New Roman"/>
          <w:color w:val="000000"/>
          <w:spacing w:val="0"/>
          <w:w w:val="100"/>
          <w:kern w:val="0"/>
          <w:sz w:val="24"/>
          <w:szCs w:val="24"/>
          <w:lang w:val="en-US" w:eastAsia="zh-CN" w:bidi="ar"/>
        </w:rPr>
        <w:t>我</w:t>
      </w:r>
      <w:r>
        <w:rPr>
          <w:rFonts w:hint="default" w:ascii="Times New Roman" w:hAnsi="Times New Roman" w:eastAsia="宋体" w:cs="Times New Roman"/>
          <w:color w:val="000000"/>
          <w:spacing w:val="0"/>
          <w:w w:val="100"/>
          <w:kern w:val="0"/>
          <w:sz w:val="24"/>
          <w:szCs w:val="24"/>
          <w:lang w:val="en-US" w:eastAsia="zh-CN" w:bidi="ar"/>
        </w:rPr>
        <w:t>单位对</w:t>
      </w:r>
      <w:r>
        <w:rPr>
          <w:rFonts w:hint="eastAsia" w:ascii="Times New Roman" w:hAnsi="Times New Roman" w:eastAsia="宋体" w:cs="Times New Roman"/>
          <w:color w:val="000000"/>
          <w:spacing w:val="0"/>
          <w:w w:val="100"/>
          <w:kern w:val="0"/>
          <w:sz w:val="24"/>
          <w:szCs w:val="24"/>
          <w:lang w:val="en-US" w:eastAsia="zh-CN" w:bidi="ar"/>
        </w:rPr>
        <w:t>世纪城园（一期）地块</w:t>
      </w:r>
      <w:r>
        <w:rPr>
          <w:rFonts w:hint="default" w:ascii="Times New Roman" w:hAnsi="Times New Roman" w:eastAsia="宋体" w:cs="Times New Roman"/>
          <w:color w:val="000000"/>
          <w:spacing w:val="0"/>
          <w:w w:val="100"/>
          <w:kern w:val="0"/>
          <w:sz w:val="24"/>
          <w:szCs w:val="24"/>
          <w:lang w:val="en-US" w:eastAsia="zh-CN" w:bidi="ar"/>
        </w:rPr>
        <w:t>开展了第一阶段调查和第二阶段初步采样分析土壤污染状况调查工作。第一阶段的调查中，调查单位收集了相关资料，进行了现场踏勘和人员访谈，对地块污染物进行了识别。在第二阶段初步采样分析的调查中，根据国家环保部《建设用地土壤污染状况调查技术导则》（HJ25</w:t>
      </w:r>
      <w:r>
        <w:rPr>
          <w:rFonts w:hint="eastAsia" w:ascii="Times New Roman" w:hAnsi="Times New Roman" w:eastAsia="宋体" w:cs="Times New Roman"/>
          <w:color w:val="000000"/>
          <w:spacing w:val="0"/>
          <w:w w:val="100"/>
          <w:kern w:val="0"/>
          <w:sz w:val="24"/>
          <w:szCs w:val="24"/>
          <w:lang w:val="en-US" w:eastAsia="zh-CN" w:bidi="ar"/>
        </w:rPr>
        <w:t>.</w:t>
      </w:r>
      <w:r>
        <w:rPr>
          <w:rFonts w:hint="default" w:ascii="Times New Roman" w:hAnsi="Times New Roman" w:eastAsia="宋体" w:cs="Times New Roman"/>
          <w:color w:val="000000"/>
          <w:spacing w:val="0"/>
          <w:w w:val="100"/>
          <w:kern w:val="0"/>
          <w:sz w:val="24"/>
          <w:szCs w:val="24"/>
          <w:lang w:val="en-US" w:eastAsia="zh-CN" w:bidi="ar"/>
        </w:rPr>
        <w:t>1-2019）、《建设用地土壤污染风险管控和修复监测技术导则》（HJ 25</w:t>
      </w:r>
      <w:r>
        <w:rPr>
          <w:rFonts w:hint="eastAsia" w:ascii="Times New Roman" w:hAnsi="Times New Roman" w:eastAsia="宋体" w:cs="Times New Roman"/>
          <w:color w:val="000000"/>
          <w:spacing w:val="0"/>
          <w:w w:val="100"/>
          <w:kern w:val="0"/>
          <w:sz w:val="24"/>
          <w:szCs w:val="24"/>
          <w:lang w:val="en-US" w:eastAsia="zh-CN" w:bidi="ar"/>
        </w:rPr>
        <w:t>.</w:t>
      </w:r>
      <w:r>
        <w:rPr>
          <w:rFonts w:hint="default" w:ascii="Times New Roman" w:hAnsi="Times New Roman" w:eastAsia="宋体" w:cs="Times New Roman"/>
          <w:color w:val="000000"/>
          <w:spacing w:val="0"/>
          <w:w w:val="100"/>
          <w:kern w:val="0"/>
          <w:sz w:val="24"/>
          <w:szCs w:val="24"/>
          <w:lang w:val="en-US" w:eastAsia="zh-CN" w:bidi="ar"/>
        </w:rPr>
        <w:t>2-2019）、二次现场踏勘、地块污染识别时期的结果和已有的数据资料，制定了初步采样布点方案。</w:t>
      </w:r>
    </w:p>
    <w:p>
      <w:pPr>
        <w:pStyle w:val="17"/>
        <w:keepNext w:val="0"/>
        <w:keepLines w:val="0"/>
        <w:pageBreakBefore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000000"/>
          <w:spacing w:val="0"/>
          <w:w w:val="100"/>
          <w:sz w:val="24"/>
          <w:szCs w:val="24"/>
          <w:lang w:val="en-US" w:eastAsia="zh-CN" w:bidi="ar-SA"/>
        </w:rPr>
      </w:pPr>
      <w:r>
        <w:rPr>
          <w:rFonts w:hint="eastAsia" w:ascii="Times New Roman" w:hAnsi="Times New Roman" w:cs="Times New Roman"/>
          <w:spacing w:val="0"/>
          <w:w w:val="100"/>
          <w:sz w:val="24"/>
          <w:lang w:val="en-US" w:eastAsia="zh-CN"/>
        </w:rPr>
        <w:t>根据《临沭县县城总体规划》（2018-2035）项目用地规划为“二类居住用地”</w:t>
      </w:r>
      <w:r>
        <w:rPr>
          <w:rFonts w:hint="default" w:ascii="Times New Roman" w:hAnsi="Times New Roman" w:eastAsia="宋体" w:cs="Times New Roman"/>
          <w:spacing w:val="0"/>
          <w:w w:val="100"/>
          <w:sz w:val="24"/>
          <w:szCs w:val="24"/>
        </w:rPr>
        <w:t>因此土壤质量评价标准采用《土壤环境质量 建设用地土壤污染风险管控标准（试行）》（GB36600-2018）第</w:t>
      </w:r>
      <w:r>
        <w:rPr>
          <w:rFonts w:hint="eastAsia" w:ascii="Times New Roman" w:hAnsi="Times New Roman" w:cs="Times New Roman"/>
          <w:spacing w:val="0"/>
          <w:w w:val="100"/>
          <w:sz w:val="24"/>
          <w:szCs w:val="24"/>
          <w:lang w:val="en-US" w:eastAsia="zh-CN"/>
        </w:rPr>
        <w:t>一</w:t>
      </w:r>
      <w:r>
        <w:rPr>
          <w:rFonts w:hint="default" w:ascii="Times New Roman" w:hAnsi="Times New Roman" w:eastAsia="宋体" w:cs="Times New Roman"/>
          <w:spacing w:val="0"/>
          <w:w w:val="100"/>
          <w:sz w:val="24"/>
          <w:szCs w:val="24"/>
        </w:rPr>
        <w:t>类用地风险筛选值进行评价</w:t>
      </w:r>
      <w:r>
        <w:rPr>
          <w:rFonts w:hint="default" w:ascii="Times New Roman" w:hAnsi="Times New Roman" w:eastAsia="宋体" w:cs="Times New Roman"/>
          <w:spacing w:val="0"/>
          <w:w w:val="100"/>
          <w:sz w:val="24"/>
          <w:szCs w:val="24"/>
          <w:lang w:val="en-US" w:eastAsia="zh-CN"/>
        </w:rPr>
        <w:t>。</w:t>
      </w:r>
    </w:p>
    <w:p>
      <w:pPr>
        <w:pStyle w:val="6"/>
        <w:keepNext w:val="0"/>
        <w:keepLines w:val="0"/>
        <w:pageBreakBefore w:val="0"/>
        <w:widowControl w:val="0"/>
        <w:numPr>
          <w:numId w:val="0"/>
        </w:numPr>
        <w:kinsoku/>
        <w:wordWrap/>
        <w:overflowPunct/>
        <w:topLinePunct w:val="0"/>
        <w:autoSpaceDE/>
        <w:autoSpaceDN/>
        <w:bidi w:val="0"/>
        <w:adjustRightInd/>
        <w:snapToGrid/>
        <w:spacing w:line="360" w:lineRule="auto"/>
        <w:ind w:left="0" w:leftChars="0" w:firstLine="480" w:firstLineChars="200"/>
        <w:textAlignment w:val="auto"/>
      </w:pPr>
      <w:r>
        <w:rPr>
          <w:rFonts w:hint="default" w:ascii="Times New Roman" w:hAnsi="Times New Roman" w:eastAsia="宋体" w:cs="Times New Roman"/>
          <w:i w:val="0"/>
          <w:color w:val="000000"/>
          <w:spacing w:val="0"/>
          <w:w w:val="100"/>
          <w:kern w:val="0"/>
          <w:sz w:val="24"/>
          <w:szCs w:val="24"/>
          <w:highlight w:val="none"/>
          <w:u w:val="none"/>
          <w:lang w:val="en-US" w:eastAsia="zh-CN" w:bidi="ar"/>
        </w:rPr>
        <w:t>综上所述，该地块不属于污染地块，不需要再进行第二阶段土壤污染状况调查的详细采样分析及后续调查。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default"/>
        <w:lang w:val="en-US"/>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IV</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IV</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5C94AF"/>
    <w:multiLevelType w:val="singleLevel"/>
    <w:tmpl w:val="315C94AF"/>
    <w:lvl w:ilvl="0" w:tentative="0">
      <w:start w:val="1"/>
      <w:numFmt w:val="decimal"/>
      <w:suff w:val="nothing"/>
      <w:lvlText w:val="%1、"/>
      <w:lvlJc w:val="left"/>
    </w:lvl>
  </w:abstractNum>
  <w:abstractNum w:abstractNumId="1">
    <w:nsid w:val="4E1A0EB7"/>
    <w:multiLevelType w:val="singleLevel"/>
    <w:tmpl w:val="4E1A0EB7"/>
    <w:lvl w:ilvl="0" w:tentative="0">
      <w:start w:val="1"/>
      <w:numFmt w:val="bullet"/>
      <w:pStyle w:val="6"/>
      <w:lvlText w:val=""/>
      <w:lvlJc w:val="left"/>
      <w:pPr>
        <w:tabs>
          <w:tab w:val="left" w:pos="2040"/>
        </w:tabs>
        <w:ind w:left="204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011287"/>
    <w:rsid w:val="610112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rFonts w:asciiTheme="minorAscii" w:hAnsiTheme="minorAscii"/>
      <w:b/>
      <w:bCs/>
      <w:kern w:val="44"/>
      <w:sz w:val="32"/>
      <w:szCs w:val="44"/>
    </w:rPr>
  </w:style>
  <w:style w:type="paragraph" w:styleId="3">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Theme="minorEastAsia"/>
      <w:b/>
      <w:sz w:val="28"/>
    </w:rPr>
  </w:style>
  <w:style w:type="paragraph" w:styleId="4">
    <w:name w:val="heading 3"/>
    <w:basedOn w:val="1"/>
    <w:next w:val="1"/>
    <w:semiHidden/>
    <w:unhideWhenUsed/>
    <w:qFormat/>
    <w:uiPriority w:val="0"/>
    <w:pPr>
      <w:spacing w:before="0" w:beforeAutospacing="1" w:after="0" w:afterAutospacing="1"/>
      <w:jc w:val="left"/>
      <w:outlineLvl w:val="2"/>
    </w:pPr>
    <w:rPr>
      <w:rFonts w:hint="eastAsia" w:ascii="宋体" w:hAnsi="宋体" w:cs="宋体" w:eastAsiaTheme="minorEastAsia"/>
      <w:b/>
      <w:kern w:val="0"/>
      <w:sz w:val="24"/>
      <w:szCs w:val="27"/>
      <w:lang w:bidi="ar"/>
    </w:rPr>
  </w:style>
  <w:style w:type="character" w:default="1" w:styleId="14">
    <w:name w:val="Default Paragraph Font"/>
    <w:semiHidden/>
    <w:uiPriority w:val="0"/>
  </w:style>
  <w:style w:type="table" w:default="1" w:styleId="12">
    <w:name w:val="Normal Table"/>
    <w:semiHidden/>
    <w:uiPriority w:val="0"/>
    <w:tblPr>
      <w:tblCellMar>
        <w:top w:w="0" w:type="dxa"/>
        <w:left w:w="108" w:type="dxa"/>
        <w:bottom w:w="0" w:type="dxa"/>
        <w:right w:w="108" w:type="dxa"/>
      </w:tblCellMar>
    </w:tblPr>
  </w:style>
  <w:style w:type="paragraph" w:styleId="5">
    <w:name w:val="Body Text"/>
    <w:basedOn w:val="1"/>
    <w:next w:val="6"/>
    <w:qFormat/>
    <w:uiPriority w:val="1"/>
    <w:rPr>
      <w:rFonts w:ascii="宋体" w:hAnsi="宋体" w:eastAsia="宋体" w:cs="宋体"/>
      <w:sz w:val="24"/>
      <w:szCs w:val="24"/>
      <w:lang w:val="zh-CN" w:eastAsia="zh-CN" w:bidi="zh-CN"/>
    </w:rPr>
  </w:style>
  <w:style w:type="paragraph" w:styleId="6">
    <w:name w:val="List Bullet 5"/>
    <w:basedOn w:val="1"/>
    <w:uiPriority w:val="0"/>
    <w:pPr>
      <w:numPr>
        <w:ilvl w:val="0"/>
        <w:numId w:val="1"/>
      </w:numPr>
    </w:pPr>
  </w:style>
  <w:style w:type="paragraph" w:styleId="7">
    <w:name w:val="Body Text Indent"/>
    <w:basedOn w:val="1"/>
    <w:next w:val="8"/>
    <w:qFormat/>
    <w:uiPriority w:val="0"/>
    <w:pPr>
      <w:ind w:firstLine="420"/>
    </w:pPr>
    <w:rPr>
      <w:kern w:val="0"/>
    </w:rPr>
  </w:style>
  <w:style w:type="paragraph" w:styleId="8">
    <w:name w:val="envelope return"/>
    <w:basedOn w:val="1"/>
    <w:qFormat/>
    <w:uiPriority w:val="99"/>
    <w:rPr>
      <w:rFonts w:ascii="Arial" w:hAnsi="Arial"/>
    </w:rPr>
  </w:style>
  <w:style w:type="paragraph" w:styleId="9">
    <w:name w:val="footer"/>
    <w:basedOn w:val="1"/>
    <w:qFormat/>
    <w:uiPriority w:val="0"/>
    <w:pPr>
      <w:tabs>
        <w:tab w:val="center" w:pos="4153"/>
        <w:tab w:val="right" w:pos="8306"/>
      </w:tabs>
      <w:snapToGrid w:val="0"/>
      <w:jc w:val="left"/>
    </w:pPr>
    <w:rPr>
      <w:sz w:val="18"/>
    </w:rPr>
  </w:style>
  <w:style w:type="paragraph" w:styleId="10">
    <w:name w:val="Body Text First Indent"/>
    <w:basedOn w:val="5"/>
    <w:next w:val="1"/>
    <w:qFormat/>
    <w:uiPriority w:val="0"/>
    <w:pPr>
      <w:ind w:firstLine="420" w:firstLineChars="100"/>
    </w:pPr>
  </w:style>
  <w:style w:type="paragraph" w:styleId="11">
    <w:name w:val="Body Text First Indent 2"/>
    <w:basedOn w:val="7"/>
    <w:next w:val="10"/>
    <w:qFormat/>
    <w:uiPriority w:val="0"/>
    <w:pPr>
      <w:ind w:firstLine="420" w:firstLineChars="200"/>
    </w:p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5">
    <w:name w:val="List Paragraph"/>
    <w:basedOn w:val="1"/>
    <w:qFormat/>
    <w:uiPriority w:val="1"/>
    <w:pPr>
      <w:ind w:left="1281" w:hanging="602"/>
    </w:pPr>
    <w:rPr>
      <w:rFonts w:ascii="宋体" w:hAnsi="宋体" w:eastAsia="宋体" w:cs="宋体"/>
      <w:lang w:val="zh-CN" w:eastAsia="zh-CN" w:bidi="zh-CN"/>
    </w:rPr>
  </w:style>
  <w:style w:type="paragraph" w:customStyle="1" w:styleId="16">
    <w:name w:val="Table Paragraph"/>
    <w:basedOn w:val="1"/>
    <w:qFormat/>
    <w:uiPriority w:val="1"/>
    <w:pPr>
      <w:jc w:val="center"/>
    </w:pPr>
    <w:rPr>
      <w:rFonts w:ascii="Times New Roman" w:hAnsi="Times New Roman" w:eastAsia="Times New Roman" w:cs="Times New Roman"/>
      <w:lang w:val="zh-CN" w:eastAsia="zh-CN" w:bidi="zh-CN"/>
    </w:rPr>
  </w:style>
  <w:style w:type="paragraph" w:customStyle="1" w:styleId="17">
    <w:name w:val="_Style 3"/>
    <w:qFormat/>
    <w:uiPriority w:val="34"/>
    <w:pPr>
      <w:widowControl w:val="0"/>
      <w:ind w:firstLine="420" w:firstLineChars="200"/>
      <w:jc w:val="both"/>
    </w:pPr>
    <w:rPr>
      <w:rFonts w:ascii="Calibri" w:hAnsi="Calibri"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2022-04-25T06:31:00Z</dcterms:created>
  <dc:creator>Administrator</dc:creator>
  <cp:lastModifiedBy>Administrator</cp:lastModifiedBy>
  <dcterms:modified xsi:type="dcterms:W3CDTF">2022-04-25T06:36:14Z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F6147C1B7FFB48CE871EEF37146AB938</vt:lpwstr>
  </property>
  <property fmtid="{D5CDD505-2E9C-101B-9397-08002B2CF9AE}" pid="4" name="commondata">
    <vt:lpwstr>eyJoZGlkIjoiYjdmMGY4MWNiYjViNzNkYjY0MTBmODEyMmRjNmRjNzAifQ==</vt:lpwstr>
  </property>
</Properties>
</file>